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CBE24" w14:textId="77777777" w:rsidR="0020188F" w:rsidRDefault="0020188F" w:rsidP="0020188F">
      <w:pPr>
        <w:pStyle w:val="berschrift2"/>
        <w:numPr>
          <w:ilvl w:val="0"/>
          <w:numId w:val="0"/>
        </w:numPr>
        <w:ind w:left="576" w:hanging="576"/>
        <w:rPr>
          <w:rFonts w:ascii="Arial Narrow" w:hAnsi="Arial Narrow"/>
          <w:sz w:val="28"/>
          <w:szCs w:val="28"/>
          <w:u w:val="none"/>
        </w:rPr>
      </w:pPr>
      <w:r>
        <w:rPr>
          <w:rFonts w:ascii="Arial Narrow" w:hAnsi="Arial Narrow"/>
          <w:sz w:val="28"/>
          <w:szCs w:val="28"/>
          <w:u w:val="none"/>
        </w:rPr>
        <w:t>Anhang</w:t>
      </w:r>
      <w:r w:rsidR="00245DA4">
        <w:rPr>
          <w:rFonts w:ascii="Arial Narrow" w:hAnsi="Arial Narrow"/>
          <w:sz w:val="28"/>
          <w:szCs w:val="28"/>
          <w:u w:val="none"/>
        </w:rPr>
        <w:t xml:space="preserve"> 1</w:t>
      </w:r>
    </w:p>
    <w:p w14:paraId="10A75135" w14:textId="77777777" w:rsidR="0020188F" w:rsidRPr="009A5E6C" w:rsidRDefault="0020188F" w:rsidP="0020188F">
      <w:pPr>
        <w:pStyle w:val="berschrift2"/>
        <w:numPr>
          <w:ilvl w:val="0"/>
          <w:numId w:val="0"/>
        </w:numPr>
        <w:ind w:left="576" w:hanging="576"/>
        <w:rPr>
          <w:rFonts w:ascii="Arial Narrow" w:hAnsi="Arial Narrow"/>
          <w:sz w:val="28"/>
          <w:szCs w:val="28"/>
          <w:u w:val="none"/>
        </w:rPr>
      </w:pPr>
      <w:r w:rsidRPr="009A5E6C">
        <w:rPr>
          <w:rFonts w:ascii="Arial Narrow" w:hAnsi="Arial Narrow"/>
          <w:sz w:val="28"/>
          <w:szCs w:val="28"/>
          <w:u w:val="none"/>
        </w:rPr>
        <w:t>Be</w:t>
      </w:r>
      <w:r>
        <w:rPr>
          <w:rFonts w:ascii="Arial Narrow" w:hAnsi="Arial Narrow"/>
          <w:sz w:val="28"/>
          <w:szCs w:val="28"/>
          <w:u w:val="none"/>
        </w:rPr>
        <w:t>rechnung der Schadenshöhe</w:t>
      </w:r>
      <w:r w:rsidRPr="009A5E6C">
        <w:rPr>
          <w:rFonts w:ascii="Arial Narrow" w:hAnsi="Arial Narrow"/>
          <w:sz w:val="28"/>
          <w:szCs w:val="28"/>
          <w:u w:val="none"/>
        </w:rPr>
        <w:t xml:space="preserve">  </w:t>
      </w:r>
    </w:p>
    <w:p w14:paraId="7DE327E8" w14:textId="77777777" w:rsidR="0020188F" w:rsidRPr="006F39B2" w:rsidRDefault="0020188F" w:rsidP="0020188F">
      <w:pPr>
        <w:spacing w:after="218" w:line="259" w:lineRule="auto"/>
        <w:ind w:left="-5" w:right="0"/>
        <w:jc w:val="left"/>
        <w:rPr>
          <w:rFonts w:ascii="Arial Narrow" w:hAnsi="Arial Narrow"/>
        </w:rPr>
      </w:pPr>
      <w:r w:rsidRPr="006D45C7">
        <w:rPr>
          <w:rFonts w:ascii="Arial Narrow" w:hAnsi="Arial Narrow"/>
          <w:u w:val="single" w:color="000000"/>
        </w:rPr>
        <w:t>Bau- und Inventarschäden:</w:t>
      </w:r>
      <w:r w:rsidRPr="006F39B2">
        <w:rPr>
          <w:rFonts w:ascii="Arial Narrow" w:hAnsi="Arial Narrow"/>
        </w:rPr>
        <w:t xml:space="preserve">  </w:t>
      </w:r>
    </w:p>
    <w:p w14:paraId="0E7EDE54" w14:textId="77777777" w:rsidR="0020188F" w:rsidRPr="006F39B2" w:rsidRDefault="0020188F" w:rsidP="0020188F">
      <w:pPr>
        <w:spacing w:after="214"/>
        <w:ind w:left="24" w:right="847"/>
        <w:rPr>
          <w:rFonts w:ascii="Arial Narrow" w:hAnsi="Arial Narrow"/>
        </w:rPr>
      </w:pPr>
      <w:r w:rsidRPr="006F39B2">
        <w:rPr>
          <w:rFonts w:ascii="Arial Narrow" w:hAnsi="Arial Narrow"/>
        </w:rPr>
        <w:t xml:space="preserve">Aufwendungen bei der Behebung des Schadens, die Verbesserungen gegenüber dem früheren Zustand bringen, sind nicht zu berücksichtigen (Wert der Objekte vor Schadenseintritt).  </w:t>
      </w:r>
    </w:p>
    <w:p w14:paraId="3423F77C" w14:textId="77777777" w:rsidR="0020188F" w:rsidRPr="006F39B2" w:rsidRDefault="0020188F" w:rsidP="0020188F">
      <w:pPr>
        <w:spacing w:after="214"/>
        <w:ind w:left="24" w:right="847"/>
        <w:rPr>
          <w:rFonts w:ascii="Arial Narrow" w:hAnsi="Arial Narrow"/>
        </w:rPr>
      </w:pPr>
      <w:r w:rsidRPr="006F39B2">
        <w:rPr>
          <w:rFonts w:ascii="Arial Narrow" w:hAnsi="Arial Narrow"/>
        </w:rPr>
        <w:t xml:space="preserve">Die Schäden müssen an einem ordnungsgemäß instand gehaltenen und benützbaren Objekt entstanden sein.   </w:t>
      </w:r>
    </w:p>
    <w:p w14:paraId="62DA2803" w14:textId="77777777" w:rsidR="0020188F" w:rsidRPr="006F39B2" w:rsidRDefault="0020188F" w:rsidP="0020188F">
      <w:pPr>
        <w:spacing w:after="0"/>
        <w:ind w:left="24" w:right="847"/>
        <w:rPr>
          <w:rFonts w:ascii="Arial Narrow" w:hAnsi="Arial Narrow"/>
        </w:rPr>
      </w:pPr>
      <w:r>
        <w:rPr>
          <w:rFonts w:ascii="Arial Narrow" w:hAnsi="Arial Narrow"/>
        </w:rPr>
        <w:t>Die</w:t>
      </w:r>
      <w:r w:rsidRPr="006F39B2">
        <w:rPr>
          <w:rFonts w:ascii="Arial Narrow" w:hAnsi="Arial Narrow"/>
        </w:rPr>
        <w:t xml:space="preserve"> Pauschalsätze für Überschwemmungsschäden </w:t>
      </w:r>
      <w:r>
        <w:rPr>
          <w:rFonts w:ascii="Arial Narrow" w:hAnsi="Arial Narrow"/>
        </w:rPr>
        <w:t>an baulichen Objekten sowie deren Inventar</w:t>
      </w:r>
      <w:r w:rsidRPr="006F39B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sind </w:t>
      </w:r>
      <w:r w:rsidRPr="006F39B2">
        <w:rPr>
          <w:rFonts w:ascii="Arial Narrow" w:hAnsi="Arial Narrow"/>
        </w:rPr>
        <w:t xml:space="preserve">wie folgt festgelegt.  </w:t>
      </w:r>
    </w:p>
    <w:p w14:paraId="663DDE5E" w14:textId="77777777" w:rsidR="0020188F" w:rsidRPr="006F39B2" w:rsidRDefault="0020188F" w:rsidP="0020188F">
      <w:pPr>
        <w:spacing w:after="0" w:line="259" w:lineRule="auto"/>
        <w:ind w:left="46" w:right="0" w:firstLine="0"/>
        <w:jc w:val="left"/>
        <w:rPr>
          <w:rFonts w:ascii="Arial Narrow" w:hAnsi="Arial Narrow"/>
        </w:rPr>
      </w:pPr>
      <w:r w:rsidRPr="006F39B2">
        <w:rPr>
          <w:rFonts w:ascii="Arial Narrow" w:hAnsi="Arial Narrow"/>
        </w:rPr>
        <w:t xml:space="preserve"> </w:t>
      </w:r>
    </w:p>
    <w:p w14:paraId="6E88AFD6" w14:textId="77777777" w:rsidR="0020188F" w:rsidRDefault="0020188F" w:rsidP="0020188F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6F39B2">
        <w:rPr>
          <w:rFonts w:ascii="Arial Narrow" w:hAnsi="Arial Narrow"/>
        </w:rPr>
        <w:t xml:space="preserve">Beiblatt Richtwerte Gebäude- und Inventarschäden: </w:t>
      </w:r>
    </w:p>
    <w:p w14:paraId="0CCE8FF8" w14:textId="77777777" w:rsidR="0020188F" w:rsidRPr="00400DDD" w:rsidRDefault="0020188F" w:rsidP="0020188F">
      <w:pPr>
        <w:spacing w:after="0" w:line="259" w:lineRule="auto"/>
        <w:ind w:left="0" w:right="0" w:firstLine="0"/>
        <w:jc w:val="left"/>
        <w:rPr>
          <w:rFonts w:ascii="Arial Narrow" w:hAnsi="Arial Narrow"/>
          <w:color w:val="auto"/>
        </w:rPr>
      </w:pPr>
    </w:p>
    <w:tbl>
      <w:tblPr>
        <w:tblStyle w:val="TableGrid"/>
        <w:tblW w:w="9926" w:type="dxa"/>
        <w:tblInd w:w="0" w:type="dxa"/>
        <w:tblLayout w:type="fixed"/>
        <w:tblCellMar>
          <w:top w:w="79" w:type="dxa"/>
          <w:bottom w:w="36" w:type="dxa"/>
        </w:tblCellMar>
        <w:tblLook w:val="04A0" w:firstRow="1" w:lastRow="0" w:firstColumn="1" w:lastColumn="0" w:noHBand="0" w:noVBand="1"/>
      </w:tblPr>
      <w:tblGrid>
        <w:gridCol w:w="1555"/>
        <w:gridCol w:w="1694"/>
        <w:gridCol w:w="1855"/>
        <w:gridCol w:w="136"/>
        <w:gridCol w:w="1559"/>
        <w:gridCol w:w="1423"/>
        <w:gridCol w:w="1704"/>
      </w:tblGrid>
      <w:tr w:rsidR="00400DDD" w:rsidRPr="00400DDD" w14:paraId="17761840" w14:textId="77777777" w:rsidTr="002D5B46">
        <w:trPr>
          <w:trHeight w:val="449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5CDDF" w14:textId="77777777" w:rsidR="0020188F" w:rsidRPr="00400DDD" w:rsidRDefault="0020188F" w:rsidP="002D5B46">
            <w:pPr>
              <w:spacing w:after="0" w:line="259" w:lineRule="auto"/>
              <w:ind w:left="0" w:right="59" w:firstLine="0"/>
              <w:jc w:val="center"/>
              <w:rPr>
                <w:rFonts w:ascii="Arial Narrow" w:hAnsi="Arial Narrow"/>
                <w:color w:val="auto"/>
              </w:rPr>
            </w:pPr>
            <w:r w:rsidRPr="00400DDD">
              <w:rPr>
                <w:rFonts w:ascii="Arial Narrow" w:hAnsi="Arial Narrow"/>
                <w:color w:val="auto"/>
              </w:rPr>
              <w:t>Kellerschäden u. Nebengebäude</w:t>
            </w:r>
            <w:r w:rsidRPr="00400DDD">
              <w:rPr>
                <w:rFonts w:ascii="Arial Narrow" w:hAnsi="Arial Narrow"/>
                <w:color w:val="auto"/>
                <w:sz w:val="20"/>
              </w:rPr>
              <w:t xml:space="preserve"> </w:t>
            </w:r>
          </w:p>
        </w:tc>
        <w:tc>
          <w:tcPr>
            <w:tcW w:w="13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67C75E" w14:textId="77777777" w:rsidR="0020188F" w:rsidRPr="00400DDD" w:rsidRDefault="0020188F" w:rsidP="002D5B46">
            <w:pPr>
              <w:spacing w:after="239" w:line="259" w:lineRule="auto"/>
              <w:ind w:left="82" w:right="0" w:firstLine="0"/>
              <w:jc w:val="left"/>
              <w:rPr>
                <w:rFonts w:ascii="Arial Narrow" w:hAnsi="Arial Narrow"/>
                <w:color w:val="auto"/>
              </w:rPr>
            </w:pPr>
            <w:r w:rsidRPr="00400DDD">
              <w:rPr>
                <w:rFonts w:ascii="Arial Narrow" w:hAnsi="Arial Narrow"/>
                <w:color w:val="auto"/>
                <w:sz w:val="20"/>
              </w:rPr>
              <w:t xml:space="preserve"> </w:t>
            </w:r>
          </w:p>
          <w:p w14:paraId="25583598" w14:textId="77777777" w:rsidR="0020188F" w:rsidRPr="00400DDD" w:rsidRDefault="0020188F" w:rsidP="002D5B46">
            <w:pPr>
              <w:spacing w:after="140" w:line="259" w:lineRule="auto"/>
              <w:ind w:left="82" w:right="0" w:firstLine="0"/>
              <w:jc w:val="left"/>
              <w:rPr>
                <w:rFonts w:ascii="Arial Narrow" w:hAnsi="Arial Narrow"/>
                <w:color w:val="auto"/>
              </w:rPr>
            </w:pPr>
            <w:r w:rsidRPr="00400DDD">
              <w:rPr>
                <w:rFonts w:ascii="Arial Narrow" w:hAnsi="Arial Narrow"/>
                <w:color w:val="auto"/>
                <w:sz w:val="20"/>
              </w:rPr>
              <w:t xml:space="preserve"> </w:t>
            </w:r>
            <w:r w:rsidRPr="00400DDD">
              <w:rPr>
                <w:rFonts w:ascii="Arial Narrow" w:hAnsi="Arial Narrow"/>
                <w:color w:val="auto"/>
              </w:rPr>
              <w:t xml:space="preserve"> </w:t>
            </w:r>
          </w:p>
          <w:p w14:paraId="440CD6E5" w14:textId="77777777" w:rsidR="0020188F" w:rsidRPr="00400DDD" w:rsidRDefault="0020188F" w:rsidP="002D5B46">
            <w:pPr>
              <w:spacing w:after="0" w:line="259" w:lineRule="auto"/>
              <w:ind w:left="-12" w:right="0" w:firstLine="0"/>
              <w:jc w:val="left"/>
              <w:rPr>
                <w:rFonts w:ascii="Arial Narrow" w:hAnsi="Arial Narrow"/>
                <w:color w:val="auto"/>
              </w:rPr>
            </w:pPr>
            <w:r w:rsidRPr="00400DDD">
              <w:rPr>
                <w:rFonts w:ascii="Arial Narrow" w:hAnsi="Arial Narrow"/>
                <w:color w:val="auto"/>
              </w:rPr>
              <w:t xml:space="preserve"> </w:t>
            </w:r>
          </w:p>
          <w:p w14:paraId="3B9CDE64" w14:textId="77777777" w:rsidR="0020188F" w:rsidRPr="00400DDD" w:rsidRDefault="0020188F" w:rsidP="002D5B46">
            <w:pPr>
              <w:spacing w:after="0" w:line="259" w:lineRule="auto"/>
              <w:ind w:left="-12" w:right="0" w:firstLine="0"/>
              <w:jc w:val="left"/>
              <w:rPr>
                <w:rFonts w:ascii="Arial Narrow" w:hAnsi="Arial Narrow"/>
                <w:color w:val="auto"/>
              </w:rPr>
            </w:pPr>
            <w:r w:rsidRPr="00400DDD">
              <w:rPr>
                <w:rFonts w:ascii="Arial Narrow" w:hAnsi="Arial Narrow"/>
                <w:color w:val="auto"/>
              </w:rPr>
              <w:t xml:space="preserve"> </w:t>
            </w:r>
          </w:p>
          <w:p w14:paraId="0C0C7BF2" w14:textId="77777777" w:rsidR="0020188F" w:rsidRPr="00400DDD" w:rsidRDefault="0020188F" w:rsidP="002D5B46">
            <w:pPr>
              <w:spacing w:after="72" w:line="259" w:lineRule="auto"/>
              <w:ind w:left="-12" w:right="0" w:firstLine="0"/>
              <w:jc w:val="left"/>
              <w:rPr>
                <w:rFonts w:ascii="Arial Narrow" w:hAnsi="Arial Narrow"/>
                <w:color w:val="auto"/>
              </w:rPr>
            </w:pPr>
            <w:r w:rsidRPr="00400DDD">
              <w:rPr>
                <w:rFonts w:ascii="Arial Narrow" w:hAnsi="Arial Narrow"/>
                <w:color w:val="auto"/>
              </w:rPr>
              <w:t xml:space="preserve"> </w:t>
            </w:r>
          </w:p>
          <w:p w14:paraId="55FBAFAE" w14:textId="77777777" w:rsidR="0020188F" w:rsidRPr="00400DDD" w:rsidRDefault="0020188F" w:rsidP="002D5B46">
            <w:pPr>
              <w:spacing w:after="114" w:line="259" w:lineRule="auto"/>
              <w:ind w:left="-12" w:right="0" w:firstLine="0"/>
              <w:jc w:val="left"/>
              <w:rPr>
                <w:rFonts w:ascii="Arial Narrow" w:hAnsi="Arial Narrow"/>
                <w:color w:val="auto"/>
              </w:rPr>
            </w:pPr>
            <w:r w:rsidRPr="00400DDD">
              <w:rPr>
                <w:rFonts w:ascii="Arial Narrow" w:hAnsi="Arial Narrow"/>
                <w:color w:val="auto"/>
              </w:rPr>
              <w:t xml:space="preserve"> </w:t>
            </w:r>
            <w:r w:rsidRPr="00400DDD">
              <w:rPr>
                <w:rFonts w:ascii="Arial Narrow" w:hAnsi="Arial Narrow"/>
                <w:color w:val="auto"/>
                <w:sz w:val="20"/>
              </w:rPr>
              <w:t xml:space="preserve"> </w:t>
            </w:r>
            <w:r w:rsidRPr="00400DDD">
              <w:rPr>
                <w:rFonts w:ascii="Arial Narrow" w:hAnsi="Arial Narrow"/>
                <w:color w:val="auto"/>
              </w:rPr>
              <w:t xml:space="preserve"> </w:t>
            </w:r>
          </w:p>
          <w:p w14:paraId="338F8BF7" w14:textId="77777777" w:rsidR="0020188F" w:rsidRPr="00400DDD" w:rsidRDefault="0020188F" w:rsidP="002D5B46">
            <w:pPr>
              <w:spacing w:after="112" w:line="259" w:lineRule="auto"/>
              <w:ind w:left="-12" w:right="0" w:firstLine="0"/>
              <w:jc w:val="left"/>
              <w:rPr>
                <w:rFonts w:ascii="Arial Narrow" w:hAnsi="Arial Narrow"/>
                <w:color w:val="auto"/>
              </w:rPr>
            </w:pPr>
            <w:r w:rsidRPr="00400DDD">
              <w:rPr>
                <w:rFonts w:ascii="Arial Narrow" w:hAnsi="Arial Narrow"/>
                <w:color w:val="auto"/>
              </w:rPr>
              <w:t xml:space="preserve"> </w:t>
            </w:r>
            <w:r w:rsidRPr="00400DDD">
              <w:rPr>
                <w:rFonts w:ascii="Arial Narrow" w:hAnsi="Arial Narrow"/>
                <w:color w:val="auto"/>
                <w:sz w:val="20"/>
              </w:rPr>
              <w:t xml:space="preserve"> </w:t>
            </w:r>
            <w:r w:rsidRPr="00400DDD">
              <w:rPr>
                <w:rFonts w:ascii="Arial Narrow" w:hAnsi="Arial Narrow"/>
                <w:color w:val="auto"/>
              </w:rPr>
              <w:t xml:space="preserve"> </w:t>
            </w:r>
          </w:p>
          <w:p w14:paraId="24F94FD5" w14:textId="77777777" w:rsidR="0020188F" w:rsidRPr="00400DDD" w:rsidRDefault="0020188F" w:rsidP="002D5B46">
            <w:pPr>
              <w:spacing w:after="181" w:line="259" w:lineRule="auto"/>
              <w:ind w:left="-12" w:right="0" w:firstLine="0"/>
              <w:jc w:val="left"/>
              <w:rPr>
                <w:rFonts w:ascii="Arial Narrow" w:hAnsi="Arial Narrow"/>
                <w:color w:val="auto"/>
              </w:rPr>
            </w:pPr>
            <w:r w:rsidRPr="00400DDD">
              <w:rPr>
                <w:rFonts w:ascii="Arial Narrow" w:hAnsi="Arial Narrow"/>
                <w:color w:val="auto"/>
              </w:rPr>
              <w:t xml:space="preserve"> </w:t>
            </w:r>
            <w:r w:rsidRPr="00400DDD">
              <w:rPr>
                <w:rFonts w:ascii="Arial Narrow" w:hAnsi="Arial Narrow"/>
                <w:color w:val="auto"/>
                <w:sz w:val="20"/>
              </w:rPr>
              <w:t xml:space="preserve"> </w:t>
            </w:r>
            <w:r w:rsidRPr="00400DDD">
              <w:rPr>
                <w:rFonts w:ascii="Arial Narrow" w:hAnsi="Arial Narrow"/>
                <w:color w:val="auto"/>
              </w:rPr>
              <w:t xml:space="preserve"> </w:t>
            </w:r>
          </w:p>
          <w:p w14:paraId="0B7874B3" w14:textId="77777777" w:rsidR="0020188F" w:rsidRPr="00400DDD" w:rsidRDefault="0020188F" w:rsidP="002D5B46">
            <w:pPr>
              <w:spacing w:after="112" w:line="259" w:lineRule="auto"/>
              <w:ind w:left="-12" w:right="0" w:firstLine="0"/>
              <w:jc w:val="left"/>
              <w:rPr>
                <w:rFonts w:ascii="Arial Narrow" w:hAnsi="Arial Narrow"/>
                <w:color w:val="auto"/>
              </w:rPr>
            </w:pPr>
            <w:r w:rsidRPr="00400DDD">
              <w:rPr>
                <w:rFonts w:ascii="Arial Narrow" w:hAnsi="Arial Narrow"/>
                <w:color w:val="auto"/>
              </w:rPr>
              <w:t xml:space="preserve"> </w:t>
            </w:r>
            <w:r w:rsidRPr="00400DDD">
              <w:rPr>
                <w:rFonts w:ascii="Arial Narrow" w:hAnsi="Arial Narrow"/>
                <w:color w:val="auto"/>
                <w:sz w:val="20"/>
              </w:rPr>
              <w:t xml:space="preserve"> </w:t>
            </w:r>
            <w:r w:rsidRPr="00400DDD">
              <w:rPr>
                <w:rFonts w:ascii="Arial Narrow" w:hAnsi="Arial Narrow"/>
                <w:color w:val="auto"/>
              </w:rPr>
              <w:t xml:space="preserve"> </w:t>
            </w:r>
          </w:p>
          <w:p w14:paraId="2721B419" w14:textId="77777777" w:rsidR="0020188F" w:rsidRPr="00400DDD" w:rsidRDefault="0020188F" w:rsidP="002D5B46">
            <w:pPr>
              <w:spacing w:after="114" w:line="259" w:lineRule="auto"/>
              <w:ind w:left="-12" w:right="0" w:firstLine="0"/>
              <w:jc w:val="left"/>
              <w:rPr>
                <w:rFonts w:ascii="Arial Narrow" w:hAnsi="Arial Narrow"/>
                <w:color w:val="auto"/>
              </w:rPr>
            </w:pPr>
            <w:r w:rsidRPr="00400DDD">
              <w:rPr>
                <w:rFonts w:ascii="Arial Narrow" w:hAnsi="Arial Narrow"/>
                <w:color w:val="auto"/>
              </w:rPr>
              <w:t xml:space="preserve"> </w:t>
            </w:r>
            <w:r w:rsidRPr="00400DDD">
              <w:rPr>
                <w:rFonts w:ascii="Arial Narrow" w:hAnsi="Arial Narrow"/>
                <w:color w:val="auto"/>
                <w:sz w:val="20"/>
              </w:rPr>
              <w:t xml:space="preserve"> </w:t>
            </w:r>
            <w:r w:rsidRPr="00400DDD">
              <w:rPr>
                <w:rFonts w:ascii="Arial Narrow" w:hAnsi="Arial Narrow"/>
                <w:color w:val="auto"/>
              </w:rPr>
              <w:t xml:space="preserve"> </w:t>
            </w:r>
          </w:p>
          <w:p w14:paraId="5306D7FB" w14:textId="77777777" w:rsidR="0020188F" w:rsidRPr="00400DDD" w:rsidRDefault="0020188F" w:rsidP="002D5B46">
            <w:pPr>
              <w:spacing w:after="112" w:line="259" w:lineRule="auto"/>
              <w:ind w:left="-12" w:right="0" w:firstLine="0"/>
              <w:jc w:val="left"/>
              <w:rPr>
                <w:rFonts w:ascii="Arial Narrow" w:hAnsi="Arial Narrow"/>
                <w:color w:val="auto"/>
              </w:rPr>
            </w:pPr>
            <w:r w:rsidRPr="00400DDD">
              <w:rPr>
                <w:rFonts w:ascii="Arial Narrow" w:hAnsi="Arial Narrow"/>
                <w:color w:val="auto"/>
              </w:rPr>
              <w:t xml:space="preserve"> </w:t>
            </w:r>
            <w:r w:rsidRPr="00400DDD">
              <w:rPr>
                <w:rFonts w:ascii="Arial Narrow" w:hAnsi="Arial Narrow"/>
                <w:color w:val="auto"/>
                <w:sz w:val="20"/>
              </w:rPr>
              <w:t xml:space="preserve"> </w:t>
            </w:r>
            <w:r w:rsidRPr="00400DDD">
              <w:rPr>
                <w:rFonts w:ascii="Arial Narrow" w:hAnsi="Arial Narrow"/>
                <w:color w:val="auto"/>
              </w:rPr>
              <w:t xml:space="preserve"> </w:t>
            </w:r>
          </w:p>
          <w:p w14:paraId="48989B2A" w14:textId="77777777" w:rsidR="0020188F" w:rsidRPr="00400DDD" w:rsidRDefault="0020188F" w:rsidP="002D5B46">
            <w:pPr>
              <w:spacing w:after="0" w:line="259" w:lineRule="auto"/>
              <w:ind w:left="-12" w:right="195" w:firstLine="0"/>
              <w:rPr>
                <w:rFonts w:ascii="Arial Narrow" w:hAnsi="Arial Narrow"/>
                <w:color w:val="auto"/>
              </w:rPr>
            </w:pPr>
            <w:r w:rsidRPr="00400DDD">
              <w:rPr>
                <w:rFonts w:ascii="Arial Narrow" w:hAnsi="Arial Narrow"/>
                <w:color w:val="auto"/>
              </w:rPr>
              <w:t xml:space="preserve"> </w:t>
            </w:r>
            <w:r w:rsidRPr="00400DDD">
              <w:rPr>
                <w:rFonts w:ascii="Arial Narrow" w:hAnsi="Arial Narrow"/>
                <w:color w:val="auto"/>
                <w:sz w:val="20"/>
              </w:rPr>
              <w:t xml:space="preserve"> </w:t>
            </w:r>
            <w:r w:rsidRPr="00400DDD">
              <w:rPr>
                <w:rFonts w:ascii="Arial Narrow" w:hAnsi="Arial Narrow"/>
                <w:color w:val="auto"/>
              </w:rPr>
              <w:t xml:space="preserve">  </w:t>
            </w:r>
            <w:r w:rsidRPr="00400DDD">
              <w:rPr>
                <w:rFonts w:ascii="Arial Narrow" w:hAnsi="Arial Narrow"/>
                <w:color w:val="auto"/>
                <w:sz w:val="20"/>
              </w:rPr>
              <w:t xml:space="preserve"> </w:t>
            </w:r>
            <w:r w:rsidRPr="00400DDD">
              <w:rPr>
                <w:rFonts w:ascii="Arial Narrow" w:hAnsi="Arial Narrow"/>
                <w:color w:val="auto"/>
              </w:rPr>
              <w:t xml:space="preserve"> </w:t>
            </w:r>
          </w:p>
        </w:tc>
        <w:tc>
          <w:tcPr>
            <w:tcW w:w="4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57213" w14:textId="77777777" w:rsidR="0020188F" w:rsidRPr="00400DDD" w:rsidRDefault="0020188F" w:rsidP="002D5B46">
            <w:pPr>
              <w:spacing w:after="0" w:line="259" w:lineRule="auto"/>
              <w:ind w:left="0" w:right="61" w:firstLine="0"/>
              <w:jc w:val="center"/>
              <w:rPr>
                <w:rFonts w:ascii="Arial Narrow" w:hAnsi="Arial Narrow"/>
                <w:color w:val="auto"/>
              </w:rPr>
            </w:pPr>
            <w:r w:rsidRPr="00400DDD">
              <w:rPr>
                <w:rFonts w:ascii="Arial Narrow" w:hAnsi="Arial Narrow"/>
                <w:color w:val="auto"/>
              </w:rPr>
              <w:t>Wohnraumschäden</w:t>
            </w:r>
            <w:r w:rsidRPr="00400DDD">
              <w:rPr>
                <w:rFonts w:ascii="Arial Narrow" w:hAnsi="Arial Narrow"/>
                <w:color w:val="auto"/>
                <w:sz w:val="20"/>
              </w:rPr>
              <w:t xml:space="preserve"> </w:t>
            </w:r>
          </w:p>
        </w:tc>
      </w:tr>
      <w:tr w:rsidR="00400DDD" w:rsidRPr="00400DDD" w14:paraId="5EE49E94" w14:textId="77777777" w:rsidTr="002D5B46">
        <w:trPr>
          <w:trHeight w:val="126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8CFE75" w14:textId="77777777" w:rsidR="0020188F" w:rsidRPr="00400DDD" w:rsidRDefault="0020188F" w:rsidP="002D5B46">
            <w:pPr>
              <w:spacing w:after="0" w:line="259" w:lineRule="auto"/>
              <w:ind w:left="23" w:right="65" w:firstLine="0"/>
              <w:jc w:val="right"/>
              <w:rPr>
                <w:rFonts w:ascii="Arial Narrow" w:hAnsi="Arial Narrow"/>
                <w:color w:val="auto"/>
              </w:rPr>
            </w:pPr>
            <w:r w:rsidRPr="00400DDD">
              <w:rPr>
                <w:rFonts w:ascii="Arial Narrow" w:hAnsi="Arial Narrow"/>
                <w:color w:val="auto"/>
                <w:sz w:val="20"/>
              </w:rPr>
              <w:t xml:space="preserve">Wasserstand in cm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929D" w14:textId="77777777" w:rsidR="0020188F" w:rsidRPr="00400DDD" w:rsidRDefault="0020188F" w:rsidP="002D5B46">
            <w:pPr>
              <w:spacing w:after="0" w:line="259" w:lineRule="auto"/>
              <w:ind w:left="0" w:right="67" w:firstLine="0"/>
              <w:jc w:val="right"/>
              <w:rPr>
                <w:rFonts w:ascii="Arial Narrow" w:hAnsi="Arial Narrow"/>
                <w:color w:val="auto"/>
              </w:rPr>
            </w:pPr>
            <w:r w:rsidRPr="00400DDD">
              <w:rPr>
                <w:rFonts w:ascii="Arial Narrow" w:hAnsi="Arial Narrow"/>
                <w:color w:val="auto"/>
                <w:sz w:val="20"/>
              </w:rPr>
              <w:t xml:space="preserve">EUR pro m² </w:t>
            </w:r>
          </w:p>
          <w:p w14:paraId="64A76F25" w14:textId="77777777" w:rsidR="0020188F" w:rsidRPr="00400DDD" w:rsidRDefault="0020188F" w:rsidP="002D5B46">
            <w:pPr>
              <w:spacing w:after="69" w:line="238" w:lineRule="auto"/>
              <w:ind w:left="115" w:right="64" w:firstLine="0"/>
              <w:jc w:val="right"/>
              <w:rPr>
                <w:rFonts w:ascii="Arial Narrow" w:hAnsi="Arial Narrow"/>
                <w:color w:val="auto"/>
              </w:rPr>
            </w:pPr>
            <w:r w:rsidRPr="00400DDD">
              <w:rPr>
                <w:rFonts w:ascii="Arial Narrow" w:hAnsi="Arial Narrow"/>
                <w:color w:val="auto"/>
                <w:sz w:val="20"/>
              </w:rPr>
              <w:t xml:space="preserve">Schadensfläche u. cm Wasserhöhe </w:t>
            </w:r>
          </w:p>
          <w:p w14:paraId="065FBDAE" w14:textId="77777777" w:rsidR="0020188F" w:rsidRPr="00400DDD" w:rsidRDefault="0020188F" w:rsidP="002D5B46">
            <w:pPr>
              <w:tabs>
                <w:tab w:val="right" w:pos="1824"/>
              </w:tabs>
              <w:spacing w:after="0" w:line="259" w:lineRule="auto"/>
              <w:ind w:left="-7" w:right="0" w:firstLine="0"/>
              <w:jc w:val="left"/>
              <w:rPr>
                <w:rFonts w:ascii="Arial Narrow" w:hAnsi="Arial Narrow"/>
                <w:color w:val="auto"/>
                <w:sz w:val="20"/>
              </w:rPr>
            </w:pPr>
            <w:r w:rsidRPr="00400DDD">
              <w:rPr>
                <w:rFonts w:ascii="Arial Narrow" w:hAnsi="Arial Narrow"/>
                <w:color w:val="auto"/>
              </w:rPr>
              <w:t xml:space="preserve"> </w:t>
            </w:r>
            <w:r w:rsidRPr="00400DDD">
              <w:rPr>
                <w:rFonts w:ascii="Arial Narrow" w:hAnsi="Arial Narrow"/>
                <w:color w:val="auto"/>
              </w:rPr>
              <w:tab/>
            </w:r>
            <w:r w:rsidRPr="00400DDD">
              <w:rPr>
                <w:rFonts w:ascii="Arial Narrow" w:hAnsi="Arial Narrow"/>
                <w:color w:val="auto"/>
                <w:sz w:val="20"/>
              </w:rPr>
              <w:t>„baulich</w:t>
            </w:r>
          </w:p>
          <w:p w14:paraId="21FC6A85" w14:textId="77777777" w:rsidR="0020188F" w:rsidRPr="00400DDD" w:rsidRDefault="0020188F" w:rsidP="002D5B46">
            <w:pPr>
              <w:tabs>
                <w:tab w:val="right" w:pos="1824"/>
              </w:tabs>
              <w:spacing w:after="0" w:line="259" w:lineRule="auto"/>
              <w:ind w:left="-7" w:right="0" w:firstLine="0"/>
              <w:jc w:val="left"/>
              <w:rPr>
                <w:rFonts w:ascii="Arial Narrow" w:hAnsi="Arial Narrow"/>
                <w:color w:val="auto"/>
                <w:sz w:val="20"/>
              </w:rPr>
            </w:pPr>
          </w:p>
          <w:p w14:paraId="6B8F2D88" w14:textId="77777777" w:rsidR="0020188F" w:rsidRPr="00400DDD" w:rsidRDefault="0020188F" w:rsidP="002D5B46">
            <w:pPr>
              <w:tabs>
                <w:tab w:val="right" w:pos="1824"/>
              </w:tabs>
              <w:spacing w:after="0" w:line="259" w:lineRule="auto"/>
              <w:ind w:left="-7" w:right="0" w:firstLine="0"/>
              <w:jc w:val="left"/>
              <w:rPr>
                <w:rFonts w:ascii="Arial Narrow" w:hAnsi="Arial Narrow"/>
                <w:color w:val="auto"/>
                <w:sz w:val="20"/>
              </w:rPr>
            </w:pPr>
          </w:p>
          <w:p w14:paraId="6ED2A39A" w14:textId="77777777" w:rsidR="0020188F" w:rsidRPr="00400DDD" w:rsidRDefault="0020188F" w:rsidP="002D5B46">
            <w:pPr>
              <w:tabs>
                <w:tab w:val="right" w:pos="1824"/>
              </w:tabs>
              <w:spacing w:after="0" w:line="259" w:lineRule="auto"/>
              <w:ind w:left="-7" w:right="0" w:firstLine="0"/>
              <w:jc w:val="left"/>
              <w:rPr>
                <w:rFonts w:ascii="Arial Narrow" w:hAnsi="Arial Narrow"/>
                <w:color w:val="auto"/>
              </w:rPr>
            </w:pPr>
            <w:r w:rsidRPr="00400DDD">
              <w:rPr>
                <w:rFonts w:ascii="Arial Narrow" w:hAnsi="Arial Narrow"/>
                <w:color w:val="auto"/>
                <w:sz w:val="20"/>
              </w:rPr>
              <w:t xml:space="preserve">Brutto                   netto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4C0D" w14:textId="77777777" w:rsidR="0020188F" w:rsidRPr="00400DDD" w:rsidRDefault="0020188F" w:rsidP="002D5B46">
            <w:pPr>
              <w:tabs>
                <w:tab w:val="center" w:pos="1045"/>
              </w:tabs>
              <w:spacing w:after="0" w:line="259" w:lineRule="auto"/>
              <w:ind w:left="-10" w:right="0" w:firstLine="0"/>
              <w:jc w:val="left"/>
              <w:rPr>
                <w:rFonts w:ascii="Arial Narrow" w:hAnsi="Arial Narrow"/>
                <w:color w:val="auto"/>
              </w:rPr>
            </w:pPr>
            <w:r w:rsidRPr="00400DDD">
              <w:rPr>
                <w:rFonts w:ascii="Arial Narrow" w:hAnsi="Arial Narrow"/>
                <w:color w:val="auto"/>
              </w:rPr>
              <w:t xml:space="preserve"> </w:t>
            </w:r>
            <w:r w:rsidRPr="00400DDD">
              <w:rPr>
                <w:rFonts w:ascii="Arial Narrow" w:hAnsi="Arial Narrow"/>
                <w:color w:val="auto"/>
                <w:sz w:val="20"/>
              </w:rPr>
              <w:t xml:space="preserve">  </w:t>
            </w:r>
            <w:r w:rsidRPr="00400DDD">
              <w:rPr>
                <w:rFonts w:ascii="Arial Narrow" w:hAnsi="Arial Narrow"/>
                <w:color w:val="auto"/>
                <w:sz w:val="20"/>
              </w:rPr>
              <w:tab/>
              <w:t>EUR pro m²</w:t>
            </w:r>
            <w:r w:rsidRPr="00400DDD">
              <w:rPr>
                <w:rFonts w:ascii="Arial Narrow" w:hAnsi="Arial Narrow"/>
                <w:color w:val="auto"/>
              </w:rPr>
              <w:t xml:space="preserve"> </w:t>
            </w:r>
          </w:p>
          <w:p w14:paraId="750140FF" w14:textId="77777777" w:rsidR="0020188F" w:rsidRPr="00400DDD" w:rsidRDefault="0020188F" w:rsidP="002D5B46">
            <w:pPr>
              <w:spacing w:after="21" w:line="236" w:lineRule="auto"/>
              <w:ind w:left="-10" w:right="66" w:firstLine="0"/>
              <w:jc w:val="right"/>
              <w:rPr>
                <w:rFonts w:ascii="Arial Narrow" w:hAnsi="Arial Narrow"/>
                <w:color w:val="auto"/>
              </w:rPr>
            </w:pPr>
            <w:r w:rsidRPr="00400DDD">
              <w:rPr>
                <w:rFonts w:ascii="Arial Narrow" w:hAnsi="Arial Narrow"/>
                <w:color w:val="auto"/>
                <w:sz w:val="20"/>
              </w:rPr>
              <w:t xml:space="preserve">Schadensfläche u. </w:t>
            </w:r>
            <w:r w:rsidRPr="00400DDD">
              <w:rPr>
                <w:rFonts w:ascii="Arial Narrow" w:hAnsi="Arial Narrow"/>
                <w:color w:val="auto"/>
              </w:rPr>
              <w:t xml:space="preserve"> </w:t>
            </w:r>
            <w:r w:rsidRPr="00400DDD">
              <w:rPr>
                <w:rFonts w:ascii="Arial Narrow" w:hAnsi="Arial Narrow"/>
                <w:color w:val="auto"/>
              </w:rPr>
              <w:tab/>
            </w:r>
            <w:r w:rsidRPr="00400DDD">
              <w:rPr>
                <w:rFonts w:ascii="Arial Narrow" w:hAnsi="Arial Narrow"/>
                <w:color w:val="auto"/>
                <w:sz w:val="20"/>
              </w:rPr>
              <w:t xml:space="preserve">cm </w:t>
            </w:r>
          </w:p>
          <w:p w14:paraId="4C277245" w14:textId="77777777" w:rsidR="0020188F" w:rsidRPr="00400DDD" w:rsidRDefault="0020188F" w:rsidP="002D5B46">
            <w:pPr>
              <w:spacing w:after="0" w:line="259" w:lineRule="auto"/>
              <w:ind w:left="-10" w:right="70" w:firstLine="0"/>
              <w:jc w:val="right"/>
              <w:rPr>
                <w:rFonts w:ascii="Arial Narrow" w:hAnsi="Arial Narrow"/>
                <w:color w:val="auto"/>
                <w:sz w:val="20"/>
              </w:rPr>
            </w:pPr>
            <w:r w:rsidRPr="00400DDD">
              <w:rPr>
                <w:rFonts w:ascii="Arial Narrow" w:hAnsi="Arial Narrow"/>
                <w:color w:val="auto"/>
              </w:rPr>
              <w:t xml:space="preserve"> </w:t>
            </w:r>
            <w:r w:rsidRPr="00400DDD">
              <w:rPr>
                <w:rFonts w:ascii="Arial Narrow" w:hAnsi="Arial Narrow"/>
                <w:color w:val="auto"/>
              </w:rPr>
              <w:tab/>
            </w:r>
            <w:proofErr w:type="gramStart"/>
            <w:r w:rsidRPr="00400DDD">
              <w:rPr>
                <w:rFonts w:ascii="Arial Narrow" w:hAnsi="Arial Narrow"/>
                <w:color w:val="auto"/>
                <w:sz w:val="20"/>
              </w:rPr>
              <w:t xml:space="preserve">Wasserhöhe </w:t>
            </w:r>
            <w:r w:rsidRPr="00400DDD">
              <w:rPr>
                <w:rFonts w:ascii="Arial Narrow" w:hAnsi="Arial Narrow"/>
                <w:color w:val="auto"/>
              </w:rPr>
              <w:t xml:space="preserve"> </w:t>
            </w:r>
            <w:r w:rsidRPr="00400DDD">
              <w:rPr>
                <w:rFonts w:ascii="Arial Narrow" w:hAnsi="Arial Narrow"/>
                <w:color w:val="auto"/>
              </w:rPr>
              <w:tab/>
            </w:r>
            <w:proofErr w:type="gramEnd"/>
            <w:r w:rsidRPr="00400DDD">
              <w:rPr>
                <w:rFonts w:ascii="Arial Narrow" w:hAnsi="Arial Narrow"/>
                <w:color w:val="auto"/>
                <w:sz w:val="20"/>
              </w:rPr>
              <w:t>„Inventar“</w:t>
            </w:r>
          </w:p>
          <w:p w14:paraId="20578FD1" w14:textId="77777777" w:rsidR="0020188F" w:rsidRPr="00400DDD" w:rsidRDefault="0020188F" w:rsidP="002D5B46">
            <w:pPr>
              <w:spacing w:after="0" w:line="259" w:lineRule="auto"/>
              <w:ind w:left="0" w:right="70" w:firstLine="0"/>
              <w:rPr>
                <w:rFonts w:ascii="Arial Narrow" w:hAnsi="Arial Narrow"/>
                <w:color w:val="auto"/>
                <w:sz w:val="20"/>
              </w:rPr>
            </w:pPr>
          </w:p>
          <w:p w14:paraId="5A351B18" w14:textId="77777777" w:rsidR="0020188F" w:rsidRPr="00400DDD" w:rsidRDefault="0020188F" w:rsidP="002D5B46">
            <w:pPr>
              <w:spacing w:after="0" w:line="259" w:lineRule="auto"/>
              <w:ind w:left="0" w:right="70" w:firstLine="0"/>
              <w:rPr>
                <w:rFonts w:ascii="Arial Narrow" w:hAnsi="Arial Narrow"/>
                <w:color w:val="auto"/>
              </w:rPr>
            </w:pPr>
            <w:r w:rsidRPr="00400DDD">
              <w:rPr>
                <w:rFonts w:ascii="Arial Narrow" w:hAnsi="Arial Narrow"/>
                <w:color w:val="auto"/>
                <w:sz w:val="20"/>
              </w:rPr>
              <w:t>Brutto             netto</w:t>
            </w:r>
          </w:p>
        </w:tc>
        <w:tc>
          <w:tcPr>
            <w:tcW w:w="1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5D3D36" w14:textId="77777777" w:rsidR="0020188F" w:rsidRPr="00400DDD" w:rsidRDefault="0020188F" w:rsidP="002D5B46">
            <w:pPr>
              <w:spacing w:after="160" w:line="259" w:lineRule="auto"/>
              <w:ind w:left="0" w:right="0" w:firstLine="0"/>
              <w:jc w:val="left"/>
              <w:rPr>
                <w:rFonts w:ascii="Arial Narrow" w:hAnsi="Arial Narrow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022420" w14:textId="77777777" w:rsidR="0020188F" w:rsidRPr="00400DDD" w:rsidRDefault="0020188F" w:rsidP="002D5B46">
            <w:pPr>
              <w:spacing w:after="0" w:line="259" w:lineRule="auto"/>
              <w:ind w:left="0" w:right="63" w:firstLine="0"/>
              <w:jc w:val="right"/>
              <w:rPr>
                <w:rFonts w:ascii="Arial Narrow" w:hAnsi="Arial Narrow"/>
                <w:color w:val="auto"/>
              </w:rPr>
            </w:pPr>
            <w:r w:rsidRPr="00400DDD">
              <w:rPr>
                <w:rFonts w:ascii="Arial Narrow" w:hAnsi="Arial Narrow"/>
                <w:color w:val="auto"/>
                <w:sz w:val="20"/>
              </w:rPr>
              <w:t xml:space="preserve">Wasserstand in cm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09B7F" w14:textId="77777777" w:rsidR="0020188F" w:rsidRPr="00400DDD" w:rsidRDefault="0020188F" w:rsidP="002D5B46">
            <w:pPr>
              <w:spacing w:after="0" w:line="259" w:lineRule="auto"/>
              <w:ind w:left="0" w:right="67" w:firstLine="0"/>
              <w:jc w:val="right"/>
              <w:rPr>
                <w:rFonts w:ascii="Arial Narrow" w:hAnsi="Arial Narrow"/>
                <w:color w:val="auto"/>
              </w:rPr>
            </w:pPr>
            <w:r w:rsidRPr="00400DDD">
              <w:rPr>
                <w:rFonts w:ascii="Arial Narrow" w:hAnsi="Arial Narrow"/>
                <w:color w:val="auto"/>
                <w:sz w:val="20"/>
              </w:rPr>
              <w:t xml:space="preserve">EUR pro m² </w:t>
            </w:r>
          </w:p>
          <w:p w14:paraId="7ACA0FA1" w14:textId="77777777" w:rsidR="0020188F" w:rsidRPr="00400DDD" w:rsidRDefault="0020188F" w:rsidP="002D5B46">
            <w:pPr>
              <w:spacing w:after="69" w:line="238" w:lineRule="auto"/>
              <w:ind w:left="0" w:right="67" w:firstLine="0"/>
              <w:jc w:val="right"/>
              <w:rPr>
                <w:rFonts w:ascii="Arial Narrow" w:hAnsi="Arial Narrow"/>
                <w:color w:val="auto"/>
              </w:rPr>
            </w:pPr>
            <w:r w:rsidRPr="00400DDD">
              <w:rPr>
                <w:rFonts w:ascii="Arial Narrow" w:hAnsi="Arial Narrow"/>
                <w:color w:val="auto"/>
                <w:sz w:val="20"/>
              </w:rPr>
              <w:t xml:space="preserve">Schadensfläche u. cm Wasserhöhe </w:t>
            </w:r>
          </w:p>
          <w:p w14:paraId="34C6920C" w14:textId="77777777" w:rsidR="0020188F" w:rsidRPr="00400DDD" w:rsidRDefault="0020188F" w:rsidP="002D5B46">
            <w:pPr>
              <w:tabs>
                <w:tab w:val="right" w:pos="1562"/>
              </w:tabs>
              <w:spacing w:after="0" w:line="259" w:lineRule="auto"/>
              <w:ind w:left="-5" w:right="0" w:firstLine="0"/>
              <w:jc w:val="left"/>
              <w:rPr>
                <w:rFonts w:ascii="Arial Narrow" w:hAnsi="Arial Narrow"/>
                <w:color w:val="auto"/>
                <w:sz w:val="20"/>
              </w:rPr>
            </w:pPr>
            <w:r w:rsidRPr="00400DDD">
              <w:rPr>
                <w:rFonts w:ascii="Arial Narrow" w:hAnsi="Arial Narrow"/>
                <w:color w:val="auto"/>
              </w:rPr>
              <w:t xml:space="preserve"> </w:t>
            </w:r>
            <w:r w:rsidRPr="00400DDD">
              <w:rPr>
                <w:rFonts w:ascii="Arial Narrow" w:hAnsi="Arial Narrow"/>
                <w:color w:val="auto"/>
              </w:rPr>
              <w:tab/>
            </w:r>
            <w:r w:rsidRPr="00400DDD">
              <w:rPr>
                <w:rFonts w:ascii="Arial Narrow" w:hAnsi="Arial Narrow"/>
                <w:color w:val="auto"/>
                <w:sz w:val="20"/>
              </w:rPr>
              <w:t>„baulich“</w:t>
            </w:r>
          </w:p>
          <w:p w14:paraId="40DD98D2" w14:textId="77777777" w:rsidR="0020188F" w:rsidRPr="00400DDD" w:rsidRDefault="0020188F" w:rsidP="002D5B46">
            <w:pPr>
              <w:tabs>
                <w:tab w:val="right" w:pos="1562"/>
              </w:tabs>
              <w:spacing w:after="0" w:line="259" w:lineRule="auto"/>
              <w:ind w:left="-5" w:right="0" w:firstLine="0"/>
              <w:jc w:val="left"/>
              <w:rPr>
                <w:rFonts w:ascii="Arial Narrow" w:hAnsi="Arial Narrow"/>
                <w:color w:val="auto"/>
                <w:sz w:val="20"/>
              </w:rPr>
            </w:pPr>
          </w:p>
          <w:p w14:paraId="103C8E8D" w14:textId="77777777" w:rsidR="0020188F" w:rsidRPr="00400DDD" w:rsidRDefault="0020188F" w:rsidP="002D5B46">
            <w:pPr>
              <w:tabs>
                <w:tab w:val="right" w:pos="1562"/>
              </w:tabs>
              <w:spacing w:after="0" w:line="259" w:lineRule="auto"/>
              <w:ind w:left="-5" w:right="0" w:firstLine="0"/>
              <w:jc w:val="left"/>
              <w:rPr>
                <w:rFonts w:ascii="Arial Narrow" w:hAnsi="Arial Narrow"/>
                <w:color w:val="auto"/>
              </w:rPr>
            </w:pPr>
            <w:r w:rsidRPr="00400DDD">
              <w:rPr>
                <w:rFonts w:ascii="Arial Narrow" w:hAnsi="Arial Narrow"/>
                <w:color w:val="auto"/>
                <w:sz w:val="20"/>
              </w:rPr>
              <w:t xml:space="preserve">Brutto       netto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7E07" w14:textId="77777777" w:rsidR="0020188F" w:rsidRPr="00400DDD" w:rsidRDefault="0020188F" w:rsidP="002D5B46">
            <w:pPr>
              <w:tabs>
                <w:tab w:val="right" w:pos="1560"/>
              </w:tabs>
              <w:spacing w:after="0" w:line="259" w:lineRule="auto"/>
              <w:ind w:left="-10" w:right="0" w:firstLine="0"/>
              <w:jc w:val="left"/>
              <w:rPr>
                <w:rFonts w:ascii="Arial Narrow" w:hAnsi="Arial Narrow"/>
                <w:color w:val="auto"/>
              </w:rPr>
            </w:pPr>
            <w:r w:rsidRPr="00400DDD">
              <w:rPr>
                <w:rFonts w:ascii="Arial Narrow" w:hAnsi="Arial Narrow"/>
                <w:color w:val="auto"/>
              </w:rPr>
              <w:t xml:space="preserve"> </w:t>
            </w:r>
            <w:r w:rsidRPr="00400DDD">
              <w:rPr>
                <w:rFonts w:ascii="Arial Narrow" w:hAnsi="Arial Narrow"/>
                <w:color w:val="auto"/>
                <w:sz w:val="20"/>
              </w:rPr>
              <w:t xml:space="preserve">  </w:t>
            </w:r>
            <w:r w:rsidRPr="00400DDD">
              <w:rPr>
                <w:rFonts w:ascii="Arial Narrow" w:hAnsi="Arial Narrow"/>
                <w:color w:val="auto"/>
                <w:sz w:val="20"/>
              </w:rPr>
              <w:tab/>
              <w:t xml:space="preserve">EUR pro m² </w:t>
            </w:r>
          </w:p>
          <w:p w14:paraId="6530C555" w14:textId="77777777" w:rsidR="0020188F" w:rsidRPr="00400DDD" w:rsidRDefault="0020188F" w:rsidP="002D5B46">
            <w:pPr>
              <w:spacing w:after="19" w:line="238" w:lineRule="auto"/>
              <w:ind w:left="-10" w:right="67" w:firstLine="0"/>
              <w:jc w:val="right"/>
              <w:rPr>
                <w:rFonts w:ascii="Arial Narrow" w:hAnsi="Arial Narrow"/>
                <w:color w:val="auto"/>
              </w:rPr>
            </w:pPr>
            <w:proofErr w:type="gramStart"/>
            <w:r w:rsidRPr="00400DDD">
              <w:rPr>
                <w:rFonts w:ascii="Arial Narrow" w:hAnsi="Arial Narrow"/>
                <w:color w:val="auto"/>
                <w:sz w:val="20"/>
              </w:rPr>
              <w:t xml:space="preserve">Schadensfläche </w:t>
            </w:r>
            <w:r w:rsidRPr="00400DDD">
              <w:rPr>
                <w:rFonts w:ascii="Arial Narrow" w:hAnsi="Arial Narrow"/>
                <w:color w:val="auto"/>
              </w:rPr>
              <w:t xml:space="preserve"> </w:t>
            </w:r>
            <w:r w:rsidRPr="00400DDD">
              <w:rPr>
                <w:rFonts w:ascii="Arial Narrow" w:hAnsi="Arial Narrow"/>
                <w:color w:val="auto"/>
              </w:rPr>
              <w:tab/>
            </w:r>
            <w:proofErr w:type="gramEnd"/>
            <w:r w:rsidRPr="00400DDD">
              <w:rPr>
                <w:rFonts w:ascii="Arial Narrow" w:hAnsi="Arial Narrow"/>
                <w:color w:val="auto"/>
                <w:sz w:val="20"/>
              </w:rPr>
              <w:t xml:space="preserve">u. cm </w:t>
            </w:r>
          </w:p>
          <w:p w14:paraId="1B0F3236" w14:textId="77777777" w:rsidR="0020188F" w:rsidRPr="00400DDD" w:rsidRDefault="0020188F" w:rsidP="002D5B46">
            <w:pPr>
              <w:spacing w:after="0" w:line="259" w:lineRule="auto"/>
              <w:ind w:left="-12" w:right="68" w:firstLine="0"/>
              <w:jc w:val="right"/>
              <w:rPr>
                <w:rFonts w:ascii="Arial Narrow" w:hAnsi="Arial Narrow"/>
                <w:color w:val="auto"/>
              </w:rPr>
            </w:pPr>
            <w:r w:rsidRPr="00400DDD">
              <w:rPr>
                <w:rFonts w:ascii="Arial Narrow" w:hAnsi="Arial Narrow"/>
                <w:color w:val="auto"/>
              </w:rPr>
              <w:t xml:space="preserve"> </w:t>
            </w:r>
            <w:r w:rsidRPr="00400DDD">
              <w:rPr>
                <w:rFonts w:ascii="Arial Narrow" w:hAnsi="Arial Narrow"/>
                <w:color w:val="auto"/>
              </w:rPr>
              <w:tab/>
              <w:t xml:space="preserve">                           </w:t>
            </w:r>
            <w:r w:rsidRPr="00400DDD">
              <w:rPr>
                <w:rFonts w:ascii="Arial Narrow" w:hAnsi="Arial Narrow"/>
                <w:color w:val="auto"/>
                <w:sz w:val="20"/>
              </w:rPr>
              <w:t xml:space="preserve">Wasserhöhe </w:t>
            </w:r>
            <w:r w:rsidRPr="00400DDD">
              <w:rPr>
                <w:rFonts w:ascii="Arial Narrow" w:hAnsi="Arial Narrow"/>
                <w:color w:val="auto"/>
              </w:rPr>
              <w:t xml:space="preserve"> </w:t>
            </w:r>
          </w:p>
          <w:p w14:paraId="3105FD69" w14:textId="77777777" w:rsidR="0020188F" w:rsidRPr="00400DDD" w:rsidRDefault="0020188F" w:rsidP="002D5B46">
            <w:pPr>
              <w:spacing w:after="0" w:line="259" w:lineRule="auto"/>
              <w:ind w:left="-12" w:right="68" w:firstLine="0"/>
              <w:jc w:val="right"/>
              <w:rPr>
                <w:rFonts w:ascii="Arial Narrow" w:hAnsi="Arial Narrow"/>
                <w:color w:val="auto"/>
              </w:rPr>
            </w:pPr>
            <w:r w:rsidRPr="00400DDD">
              <w:rPr>
                <w:rFonts w:ascii="Arial Narrow" w:hAnsi="Arial Narrow"/>
                <w:color w:val="auto"/>
              </w:rPr>
              <w:tab/>
            </w:r>
            <w:r w:rsidRPr="00400DDD">
              <w:rPr>
                <w:rFonts w:ascii="Arial Narrow" w:hAnsi="Arial Narrow"/>
                <w:color w:val="auto"/>
                <w:sz w:val="20"/>
              </w:rPr>
              <w:t>„Inventar“</w:t>
            </w:r>
          </w:p>
          <w:p w14:paraId="4DD77D09" w14:textId="77777777" w:rsidR="0020188F" w:rsidRPr="00400DDD" w:rsidRDefault="0020188F" w:rsidP="002D5B46">
            <w:pPr>
              <w:spacing w:after="0" w:line="259" w:lineRule="auto"/>
              <w:ind w:left="-12" w:right="68" w:firstLine="0"/>
              <w:jc w:val="lef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Brutto      netto        </w:t>
            </w:r>
          </w:p>
        </w:tc>
      </w:tr>
      <w:tr w:rsidR="00400DDD" w:rsidRPr="00400DDD" w14:paraId="4D3E3170" w14:textId="77777777" w:rsidTr="002D5B46">
        <w:trPr>
          <w:trHeight w:val="36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8B94" w14:textId="77777777" w:rsidR="0020188F" w:rsidRPr="00400DDD" w:rsidRDefault="0020188F" w:rsidP="002D5B46">
            <w:pPr>
              <w:spacing w:after="0" w:line="259" w:lineRule="auto"/>
              <w:ind w:left="0" w:right="69" w:firstLine="0"/>
              <w:jc w:val="right"/>
              <w:rPr>
                <w:rFonts w:ascii="Arial Narrow" w:hAnsi="Arial Narrow"/>
                <w:color w:val="auto"/>
              </w:rPr>
            </w:pPr>
            <w:r w:rsidRPr="00400DDD">
              <w:rPr>
                <w:rFonts w:ascii="Arial Narrow" w:hAnsi="Arial Narrow"/>
                <w:color w:val="auto"/>
                <w:sz w:val="20"/>
              </w:rPr>
              <w:t xml:space="preserve">0 bis &lt;. 30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7140" w14:textId="34DCF39E" w:rsidR="0020188F" w:rsidRPr="00400DDD" w:rsidRDefault="0020188F" w:rsidP="002D5B46">
            <w:pPr>
              <w:tabs>
                <w:tab w:val="right" w:pos="1824"/>
              </w:tabs>
              <w:spacing w:after="0" w:line="259" w:lineRule="auto"/>
              <w:ind w:left="-10" w:right="0" w:firstLine="0"/>
              <w:jc w:val="lef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1,</w:t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65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ab/>
              <w:t>1,</w:t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37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7ED7" w14:textId="1207F2E1" w:rsidR="0020188F" w:rsidRPr="00400DDD" w:rsidRDefault="0020188F" w:rsidP="002D5B46">
            <w:pPr>
              <w:tabs>
                <w:tab w:val="right" w:pos="1870"/>
              </w:tabs>
              <w:spacing w:after="0" w:line="259" w:lineRule="auto"/>
              <w:ind w:left="-10" w:right="0" w:firstLine="0"/>
              <w:jc w:val="lef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0,</w:t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64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ab/>
              <w:t>0,</w:t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54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02C8BC" w14:textId="77777777" w:rsidR="0020188F" w:rsidRPr="00400DDD" w:rsidRDefault="0020188F" w:rsidP="002D5B46">
            <w:pPr>
              <w:spacing w:after="160" w:line="259" w:lineRule="auto"/>
              <w:ind w:left="0" w:right="0" w:firstLine="0"/>
              <w:jc w:val="left"/>
              <w:rPr>
                <w:rFonts w:ascii="Arial Narrow" w:hAnsi="Arial Narrow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AAD7" w14:textId="77777777" w:rsidR="0020188F" w:rsidRPr="00400DDD" w:rsidRDefault="0020188F" w:rsidP="002D5B46">
            <w:pPr>
              <w:spacing w:after="0" w:line="259" w:lineRule="auto"/>
              <w:ind w:left="0" w:right="69" w:firstLine="0"/>
              <w:jc w:val="righ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0 bis &lt;. 30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CC13" w14:textId="6CF23B7D" w:rsidR="0020188F" w:rsidRPr="00400DDD" w:rsidRDefault="0020188F" w:rsidP="002D5B46">
            <w:pPr>
              <w:tabs>
                <w:tab w:val="right" w:pos="1562"/>
              </w:tabs>
              <w:spacing w:after="0" w:line="259" w:lineRule="auto"/>
              <w:ind w:left="-10" w:right="0" w:firstLine="0"/>
              <w:jc w:val="lef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8,24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ab/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6,86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EA2A" w14:textId="13C923C9" w:rsidR="0020188F" w:rsidRPr="00400DDD" w:rsidRDefault="0020188F" w:rsidP="002D5B46">
            <w:pPr>
              <w:tabs>
                <w:tab w:val="right" w:pos="1560"/>
              </w:tabs>
              <w:spacing w:after="0" w:line="259" w:lineRule="auto"/>
              <w:ind w:left="-10" w:right="0" w:firstLine="0"/>
              <w:jc w:val="lef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2,55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ab/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2,12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</w:tc>
      </w:tr>
      <w:tr w:rsidR="00400DDD" w:rsidRPr="00400DDD" w14:paraId="4127E1DB" w14:textId="77777777" w:rsidTr="002D5B46">
        <w:trPr>
          <w:trHeight w:val="36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69E8" w14:textId="77777777" w:rsidR="0020188F" w:rsidRPr="00400DDD" w:rsidRDefault="0020188F" w:rsidP="002D5B46">
            <w:pPr>
              <w:spacing w:after="0" w:line="259" w:lineRule="auto"/>
              <w:ind w:left="0" w:right="68" w:firstLine="0"/>
              <w:jc w:val="right"/>
              <w:rPr>
                <w:rFonts w:ascii="Arial Narrow" w:hAnsi="Arial Narrow"/>
                <w:color w:val="auto"/>
              </w:rPr>
            </w:pPr>
            <w:r w:rsidRPr="00400DDD">
              <w:rPr>
                <w:rFonts w:ascii="Arial Narrow" w:hAnsi="Arial Narrow"/>
                <w:color w:val="auto"/>
                <w:sz w:val="20"/>
              </w:rPr>
              <w:t xml:space="preserve">30 bis &lt; 60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C969" w14:textId="54167062" w:rsidR="0020188F" w:rsidRPr="00400DDD" w:rsidRDefault="0020188F" w:rsidP="002D5B46">
            <w:pPr>
              <w:tabs>
                <w:tab w:val="right" w:pos="1824"/>
              </w:tabs>
              <w:spacing w:after="0" w:line="259" w:lineRule="auto"/>
              <w:ind w:left="-10" w:right="0" w:firstLine="0"/>
              <w:jc w:val="lef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1,</w:t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50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ab/>
              <w:t>1</w:t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,25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C313" w14:textId="70E3766F" w:rsidR="0020188F" w:rsidRPr="00400DDD" w:rsidRDefault="0020188F" w:rsidP="002D5B46">
            <w:pPr>
              <w:tabs>
                <w:tab w:val="right" w:pos="1870"/>
              </w:tabs>
              <w:spacing w:after="0" w:line="259" w:lineRule="auto"/>
              <w:ind w:left="-7" w:right="0" w:firstLine="0"/>
              <w:jc w:val="lef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0,</w:t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60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ab/>
              <w:t>0,</w:t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50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21622F" w14:textId="77777777" w:rsidR="0020188F" w:rsidRPr="00400DDD" w:rsidRDefault="0020188F" w:rsidP="002D5B46">
            <w:pPr>
              <w:spacing w:after="160" w:line="259" w:lineRule="auto"/>
              <w:ind w:left="0" w:right="0" w:firstLine="0"/>
              <w:jc w:val="left"/>
              <w:rPr>
                <w:rFonts w:ascii="Arial Narrow" w:hAnsi="Arial Narrow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53FA" w14:textId="77777777" w:rsidR="0020188F" w:rsidRPr="00400DDD" w:rsidRDefault="0020188F" w:rsidP="002D5B46">
            <w:pPr>
              <w:spacing w:after="0" w:line="259" w:lineRule="auto"/>
              <w:ind w:left="0" w:right="68" w:firstLine="0"/>
              <w:jc w:val="righ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30 bis &lt; 60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92C9" w14:textId="4320A6DD" w:rsidR="0020188F" w:rsidRPr="00400DDD" w:rsidRDefault="0020188F" w:rsidP="002D5B46">
            <w:pPr>
              <w:tabs>
                <w:tab w:val="right" w:pos="1562"/>
              </w:tabs>
              <w:spacing w:after="0" w:line="259" w:lineRule="auto"/>
              <w:ind w:left="-10" w:right="0" w:firstLine="0"/>
              <w:jc w:val="lef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7,49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ab/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6,24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F153" w14:textId="0D483670" w:rsidR="0020188F" w:rsidRPr="00400DDD" w:rsidRDefault="0020188F" w:rsidP="002D5B46">
            <w:pPr>
              <w:tabs>
                <w:tab w:val="right" w:pos="1560"/>
              </w:tabs>
              <w:spacing w:after="0" w:line="259" w:lineRule="auto"/>
              <w:ind w:left="-10" w:right="0" w:firstLine="0"/>
              <w:jc w:val="lef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2,32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ab/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1,93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</w:tc>
      </w:tr>
      <w:tr w:rsidR="00400DDD" w:rsidRPr="00400DDD" w14:paraId="526B72DA" w14:textId="77777777" w:rsidTr="002D5B46">
        <w:trPr>
          <w:trHeight w:val="42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6D32" w14:textId="77777777" w:rsidR="0020188F" w:rsidRPr="00400DDD" w:rsidRDefault="0020188F" w:rsidP="002D5B46">
            <w:pPr>
              <w:spacing w:after="0" w:line="259" w:lineRule="auto"/>
              <w:ind w:left="0" w:right="68" w:firstLine="0"/>
              <w:jc w:val="right"/>
              <w:rPr>
                <w:rFonts w:ascii="Arial Narrow" w:hAnsi="Arial Narrow"/>
                <w:color w:val="auto"/>
              </w:rPr>
            </w:pPr>
            <w:r w:rsidRPr="00400DDD">
              <w:rPr>
                <w:rFonts w:ascii="Arial Narrow" w:hAnsi="Arial Narrow"/>
                <w:color w:val="auto"/>
                <w:sz w:val="20"/>
              </w:rPr>
              <w:t xml:space="preserve">60 bis &lt; 90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DA73" w14:textId="4B4BF890" w:rsidR="0020188F" w:rsidRPr="00400DDD" w:rsidRDefault="0020188F" w:rsidP="002D5B46">
            <w:pPr>
              <w:tabs>
                <w:tab w:val="right" w:pos="1824"/>
              </w:tabs>
              <w:spacing w:after="0" w:line="259" w:lineRule="auto"/>
              <w:ind w:left="-10" w:right="0" w:firstLine="0"/>
              <w:jc w:val="lef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1,</w:t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35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ab/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1,12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4BF7" w14:textId="4114D24D" w:rsidR="0020188F" w:rsidRPr="00400DDD" w:rsidRDefault="0020188F" w:rsidP="002D5B46">
            <w:pPr>
              <w:tabs>
                <w:tab w:val="right" w:pos="1870"/>
              </w:tabs>
              <w:spacing w:after="0" w:line="259" w:lineRule="auto"/>
              <w:ind w:left="-10" w:right="0" w:firstLine="0"/>
              <w:jc w:val="lef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0,</w:t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55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ab/>
              <w:t>0,</w:t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46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350292" w14:textId="77777777" w:rsidR="0020188F" w:rsidRPr="00400DDD" w:rsidRDefault="0020188F" w:rsidP="002D5B46">
            <w:pPr>
              <w:spacing w:after="160" w:line="259" w:lineRule="auto"/>
              <w:ind w:left="0" w:right="0" w:firstLine="0"/>
              <w:jc w:val="left"/>
              <w:rPr>
                <w:rFonts w:ascii="Arial Narrow" w:hAnsi="Arial Narrow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6B97" w14:textId="77777777" w:rsidR="0020188F" w:rsidRPr="00400DDD" w:rsidRDefault="0020188F" w:rsidP="002D5B46">
            <w:pPr>
              <w:spacing w:after="0" w:line="259" w:lineRule="auto"/>
              <w:ind w:left="0" w:right="68" w:firstLine="0"/>
              <w:jc w:val="righ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60 bis &lt; 90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3D73" w14:textId="3C8A9530" w:rsidR="0020188F" w:rsidRPr="00400DDD" w:rsidRDefault="0020188F" w:rsidP="002D5B46">
            <w:pPr>
              <w:tabs>
                <w:tab w:val="right" w:pos="1562"/>
              </w:tabs>
              <w:spacing w:after="0" w:line="259" w:lineRule="auto"/>
              <w:ind w:left="-10" w:right="0" w:firstLine="0"/>
              <w:jc w:val="lef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6,74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ab/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5,62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2418" w14:textId="54D2C728" w:rsidR="0020188F" w:rsidRPr="00400DDD" w:rsidRDefault="0020188F" w:rsidP="002D5B46">
            <w:pPr>
              <w:tabs>
                <w:tab w:val="right" w:pos="1560"/>
              </w:tabs>
              <w:spacing w:after="0" w:line="259" w:lineRule="auto"/>
              <w:ind w:left="-10" w:right="0" w:firstLine="0"/>
              <w:jc w:val="lef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2,10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ab/>
              <w:t>1,</w:t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75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</w:tc>
      </w:tr>
      <w:tr w:rsidR="00400DDD" w:rsidRPr="00400DDD" w14:paraId="1F467D58" w14:textId="77777777" w:rsidTr="002D5B46">
        <w:trPr>
          <w:trHeight w:val="36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1EFA1" w14:textId="77777777" w:rsidR="0020188F" w:rsidRPr="00400DDD" w:rsidRDefault="0020188F" w:rsidP="002D5B46">
            <w:pPr>
              <w:spacing w:after="0" w:line="259" w:lineRule="auto"/>
              <w:ind w:left="0" w:right="67" w:firstLine="0"/>
              <w:jc w:val="right"/>
              <w:rPr>
                <w:rFonts w:ascii="Arial Narrow" w:hAnsi="Arial Narrow"/>
                <w:color w:val="auto"/>
              </w:rPr>
            </w:pPr>
            <w:r w:rsidRPr="00400DDD">
              <w:rPr>
                <w:rFonts w:ascii="Arial Narrow" w:hAnsi="Arial Narrow"/>
                <w:color w:val="auto"/>
                <w:sz w:val="20"/>
              </w:rPr>
              <w:t xml:space="preserve"> 90 bis &lt; 120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FCE8" w14:textId="2D6BA59F" w:rsidR="0020188F" w:rsidRPr="00400DDD" w:rsidRDefault="0020188F" w:rsidP="002D5B46">
            <w:pPr>
              <w:tabs>
                <w:tab w:val="right" w:pos="1824"/>
              </w:tabs>
              <w:spacing w:after="0" w:line="259" w:lineRule="auto"/>
              <w:ind w:left="-10" w:right="0" w:firstLine="0"/>
              <w:jc w:val="lef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1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>,</w:t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20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ab/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1,0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2F38" w14:textId="42E17903" w:rsidR="0020188F" w:rsidRPr="00400DDD" w:rsidRDefault="0020188F" w:rsidP="002D5B46">
            <w:pPr>
              <w:tabs>
                <w:tab w:val="right" w:pos="1870"/>
              </w:tabs>
              <w:spacing w:after="0" w:line="259" w:lineRule="auto"/>
              <w:ind w:left="-10" w:right="0" w:firstLine="0"/>
              <w:jc w:val="lef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0,</w:t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51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ab/>
              <w:t>0,</w:t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42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693023" w14:textId="77777777" w:rsidR="0020188F" w:rsidRPr="00400DDD" w:rsidRDefault="0020188F" w:rsidP="002D5B46">
            <w:pPr>
              <w:spacing w:after="160" w:line="259" w:lineRule="auto"/>
              <w:ind w:left="0" w:right="0" w:firstLine="0"/>
              <w:jc w:val="left"/>
              <w:rPr>
                <w:rFonts w:ascii="Arial Narrow" w:hAnsi="Arial Narrow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A2C7" w14:textId="77777777" w:rsidR="0020188F" w:rsidRPr="00400DDD" w:rsidRDefault="0020188F" w:rsidP="002D5B46">
            <w:pPr>
              <w:spacing w:after="0" w:line="259" w:lineRule="auto"/>
              <w:ind w:left="0" w:right="67" w:firstLine="0"/>
              <w:jc w:val="righ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90 bis &lt; 120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93FF" w14:textId="28864F32" w:rsidR="0020188F" w:rsidRPr="00400DDD" w:rsidRDefault="0020188F" w:rsidP="002D5B46">
            <w:pPr>
              <w:tabs>
                <w:tab w:val="right" w:pos="1562"/>
              </w:tabs>
              <w:spacing w:after="0" w:line="259" w:lineRule="auto"/>
              <w:ind w:left="-10" w:right="0" w:firstLine="0"/>
              <w:jc w:val="lef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5,99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ab/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4,99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6019" w14:textId="34F820BB" w:rsidR="0020188F" w:rsidRPr="00400DDD" w:rsidRDefault="0020188F" w:rsidP="002D5B46">
            <w:pPr>
              <w:tabs>
                <w:tab w:val="right" w:pos="1560"/>
              </w:tabs>
              <w:spacing w:after="0" w:line="259" w:lineRule="auto"/>
              <w:ind w:left="-10" w:right="0" w:firstLine="0"/>
              <w:jc w:val="lef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1,87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ab/>
              <w:t>1,</w:t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56</w:t>
            </w:r>
          </w:p>
        </w:tc>
      </w:tr>
      <w:tr w:rsidR="00400DDD" w:rsidRPr="00400DDD" w14:paraId="51718753" w14:textId="77777777" w:rsidTr="002D5B46">
        <w:trPr>
          <w:trHeight w:val="36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5FC6" w14:textId="77777777" w:rsidR="0020188F" w:rsidRPr="00400DDD" w:rsidRDefault="0020188F" w:rsidP="002D5B46">
            <w:pPr>
              <w:spacing w:after="0" w:line="259" w:lineRule="auto"/>
              <w:ind w:left="0" w:right="67" w:firstLine="0"/>
              <w:jc w:val="right"/>
              <w:rPr>
                <w:rFonts w:ascii="Arial Narrow" w:hAnsi="Arial Narrow"/>
                <w:color w:val="auto"/>
              </w:rPr>
            </w:pPr>
            <w:r w:rsidRPr="00400DDD">
              <w:rPr>
                <w:rFonts w:ascii="Arial Narrow" w:hAnsi="Arial Narrow"/>
                <w:color w:val="auto"/>
                <w:sz w:val="20"/>
              </w:rPr>
              <w:t xml:space="preserve"> 120 bis &lt; 150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E21B9" w14:textId="665A1A1D" w:rsidR="0020188F" w:rsidRPr="00400DDD" w:rsidRDefault="0020188F" w:rsidP="002D5B46">
            <w:pPr>
              <w:tabs>
                <w:tab w:val="right" w:pos="1824"/>
              </w:tabs>
              <w:spacing w:after="0" w:line="259" w:lineRule="auto"/>
              <w:ind w:left="-10" w:right="0" w:firstLine="0"/>
              <w:jc w:val="lef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1,05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ab/>
              <w:t>0,</w:t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87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742B" w14:textId="2F815B5F" w:rsidR="0020188F" w:rsidRPr="00400DDD" w:rsidRDefault="0020188F" w:rsidP="002D5B46">
            <w:pPr>
              <w:tabs>
                <w:tab w:val="right" w:pos="1870"/>
              </w:tabs>
              <w:spacing w:after="0" w:line="259" w:lineRule="auto"/>
              <w:ind w:left="-10" w:right="0" w:firstLine="0"/>
              <w:jc w:val="lef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0,</w:t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46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ab/>
              <w:t>0,</w:t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39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159E24" w14:textId="77777777" w:rsidR="0020188F" w:rsidRPr="00400DDD" w:rsidRDefault="0020188F" w:rsidP="002D5B46">
            <w:pPr>
              <w:spacing w:after="160" w:line="259" w:lineRule="auto"/>
              <w:ind w:left="0" w:right="0" w:firstLine="0"/>
              <w:jc w:val="left"/>
              <w:rPr>
                <w:rFonts w:ascii="Arial Narrow" w:hAnsi="Arial Narrow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A31E" w14:textId="77777777" w:rsidR="0020188F" w:rsidRPr="00400DDD" w:rsidRDefault="0020188F" w:rsidP="002D5B46">
            <w:pPr>
              <w:spacing w:after="0" w:line="259" w:lineRule="auto"/>
              <w:ind w:left="0" w:right="67" w:firstLine="0"/>
              <w:jc w:val="righ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120 bis &lt; 150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A026" w14:textId="66054105" w:rsidR="0020188F" w:rsidRPr="00400DDD" w:rsidRDefault="0020188F" w:rsidP="002D5B46">
            <w:pPr>
              <w:tabs>
                <w:tab w:val="right" w:pos="1562"/>
              </w:tabs>
              <w:spacing w:after="0" w:line="259" w:lineRule="auto"/>
              <w:ind w:left="-10" w:right="0" w:firstLine="0"/>
              <w:jc w:val="lef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5,24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ab/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4,37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9B03" w14:textId="4EA11631" w:rsidR="0020188F" w:rsidRPr="00400DDD" w:rsidRDefault="0020188F" w:rsidP="002D5B46">
            <w:pPr>
              <w:tabs>
                <w:tab w:val="right" w:pos="1560"/>
              </w:tabs>
              <w:spacing w:after="0" w:line="259" w:lineRule="auto"/>
              <w:ind w:left="-10" w:right="0" w:firstLine="0"/>
              <w:jc w:val="lef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1,65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ab/>
              <w:t>1,</w:t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37</w:t>
            </w:r>
          </w:p>
        </w:tc>
      </w:tr>
      <w:tr w:rsidR="00400DDD" w:rsidRPr="00400DDD" w14:paraId="4C483497" w14:textId="77777777" w:rsidTr="002D5B46">
        <w:trPr>
          <w:trHeight w:val="36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4EB3" w14:textId="77777777" w:rsidR="0020188F" w:rsidRPr="00400DDD" w:rsidRDefault="0020188F" w:rsidP="002D5B46">
            <w:pPr>
              <w:spacing w:after="0" w:line="259" w:lineRule="auto"/>
              <w:ind w:left="0" w:right="67" w:firstLine="0"/>
              <w:jc w:val="right"/>
              <w:rPr>
                <w:rFonts w:ascii="Arial Narrow" w:hAnsi="Arial Narrow"/>
                <w:color w:val="auto"/>
              </w:rPr>
            </w:pPr>
            <w:r w:rsidRPr="00400DDD">
              <w:rPr>
                <w:rFonts w:ascii="Arial Narrow" w:hAnsi="Arial Narrow"/>
                <w:color w:val="auto"/>
                <w:sz w:val="20"/>
              </w:rPr>
              <w:t xml:space="preserve">150 bis &lt; 180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F0CF" w14:textId="07C32040" w:rsidR="0020188F" w:rsidRPr="00400DDD" w:rsidRDefault="0020188F" w:rsidP="002D5B46">
            <w:pPr>
              <w:tabs>
                <w:tab w:val="right" w:pos="1824"/>
              </w:tabs>
              <w:spacing w:after="0" w:line="259" w:lineRule="auto"/>
              <w:ind w:left="-10" w:right="0" w:firstLine="0"/>
              <w:jc w:val="lef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0,</w:t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90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ab/>
              <w:t>0,</w:t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75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0F7D" w14:textId="402D0579" w:rsidR="0020188F" w:rsidRPr="00400DDD" w:rsidRDefault="0020188F" w:rsidP="002D5B46">
            <w:pPr>
              <w:tabs>
                <w:tab w:val="right" w:pos="1870"/>
              </w:tabs>
              <w:spacing w:after="0" w:line="259" w:lineRule="auto"/>
              <w:ind w:left="-10" w:right="0" w:firstLine="0"/>
              <w:jc w:val="lef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0,</w:t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42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ab/>
              <w:t>0,</w:t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35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CA0387" w14:textId="77777777" w:rsidR="0020188F" w:rsidRPr="00400DDD" w:rsidRDefault="0020188F" w:rsidP="002D5B46">
            <w:pPr>
              <w:spacing w:after="160" w:line="259" w:lineRule="auto"/>
              <w:ind w:left="0" w:right="0" w:firstLine="0"/>
              <w:jc w:val="left"/>
              <w:rPr>
                <w:rFonts w:ascii="Arial Narrow" w:hAnsi="Arial Narrow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3912" w14:textId="77777777" w:rsidR="0020188F" w:rsidRPr="00400DDD" w:rsidRDefault="0020188F" w:rsidP="002D5B46">
            <w:pPr>
              <w:spacing w:after="0" w:line="259" w:lineRule="auto"/>
              <w:ind w:left="0" w:right="67" w:firstLine="0"/>
              <w:jc w:val="righ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150 bis &lt; 180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3816" w14:textId="1FEB71FB" w:rsidR="0020188F" w:rsidRPr="00400DDD" w:rsidRDefault="0020188F" w:rsidP="002D5B46">
            <w:pPr>
              <w:tabs>
                <w:tab w:val="right" w:pos="1562"/>
              </w:tabs>
              <w:spacing w:after="0" w:line="259" w:lineRule="auto"/>
              <w:ind w:left="-10" w:right="0" w:firstLine="0"/>
              <w:jc w:val="lef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4,49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ab/>
              <w:t>3</w:t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,74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87F3" w14:textId="41E7D951" w:rsidR="0020188F" w:rsidRPr="00400DDD" w:rsidRDefault="0020188F" w:rsidP="002D5B46">
            <w:pPr>
              <w:tabs>
                <w:tab w:val="right" w:pos="1560"/>
              </w:tabs>
              <w:spacing w:after="0" w:line="259" w:lineRule="auto"/>
              <w:ind w:left="-10" w:right="0" w:firstLine="0"/>
              <w:jc w:val="lef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1</w:t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,42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ab/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1,19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</w:tc>
      </w:tr>
      <w:tr w:rsidR="00400DDD" w:rsidRPr="00400DDD" w14:paraId="5D3E11DC" w14:textId="77777777" w:rsidTr="002D5B46">
        <w:trPr>
          <w:trHeight w:val="41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715B" w14:textId="77777777" w:rsidR="0020188F" w:rsidRPr="00400DDD" w:rsidRDefault="0020188F" w:rsidP="002D5B46">
            <w:pPr>
              <w:spacing w:after="0" w:line="259" w:lineRule="auto"/>
              <w:ind w:left="0" w:right="67" w:firstLine="0"/>
              <w:jc w:val="right"/>
              <w:rPr>
                <w:rFonts w:ascii="Arial Narrow" w:hAnsi="Arial Narrow"/>
                <w:color w:val="auto"/>
              </w:rPr>
            </w:pPr>
            <w:r w:rsidRPr="00400DDD">
              <w:rPr>
                <w:rFonts w:ascii="Arial Narrow" w:hAnsi="Arial Narrow"/>
                <w:color w:val="auto"/>
                <w:sz w:val="20"/>
              </w:rPr>
              <w:t xml:space="preserve">180 bis &lt; 210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6422" w14:textId="2EEE85A8" w:rsidR="0020188F" w:rsidRPr="00400DDD" w:rsidRDefault="0020188F" w:rsidP="002D5B46">
            <w:pPr>
              <w:tabs>
                <w:tab w:val="right" w:pos="1824"/>
              </w:tabs>
              <w:spacing w:after="0" w:line="259" w:lineRule="auto"/>
              <w:ind w:left="-10" w:right="0" w:firstLine="0"/>
              <w:jc w:val="lef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0,</w:t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82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ab/>
              <w:t>0,</w:t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69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4F68" w14:textId="5A98DC65" w:rsidR="0020188F" w:rsidRPr="00400DDD" w:rsidRDefault="0020188F" w:rsidP="002D5B46">
            <w:pPr>
              <w:tabs>
                <w:tab w:val="right" w:pos="1870"/>
              </w:tabs>
              <w:spacing w:after="0" w:line="259" w:lineRule="auto"/>
              <w:ind w:left="-10" w:right="0" w:firstLine="0"/>
              <w:jc w:val="lef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0</w:t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,37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ab/>
              <w:t>0,</w:t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31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882791" w14:textId="77777777" w:rsidR="0020188F" w:rsidRPr="00400DDD" w:rsidRDefault="0020188F" w:rsidP="002D5B46">
            <w:pPr>
              <w:spacing w:after="160" w:line="259" w:lineRule="auto"/>
              <w:ind w:left="0" w:right="0" w:firstLine="0"/>
              <w:jc w:val="left"/>
              <w:rPr>
                <w:rFonts w:ascii="Arial Narrow" w:hAnsi="Arial Narrow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B6E6" w14:textId="77777777" w:rsidR="0020188F" w:rsidRPr="00400DDD" w:rsidRDefault="0020188F" w:rsidP="002D5B46">
            <w:pPr>
              <w:spacing w:after="0" w:line="259" w:lineRule="auto"/>
              <w:ind w:left="0" w:right="67" w:firstLine="0"/>
              <w:jc w:val="righ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180 bis &lt; 210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F6B80" w14:textId="191BDD50" w:rsidR="0020188F" w:rsidRPr="00400DDD" w:rsidRDefault="0020188F" w:rsidP="002D5B46">
            <w:pPr>
              <w:tabs>
                <w:tab w:val="right" w:pos="1562"/>
              </w:tabs>
              <w:spacing w:after="0" w:line="259" w:lineRule="auto"/>
              <w:ind w:left="-10" w:right="0" w:firstLine="0"/>
              <w:jc w:val="lef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3,</w:t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89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ab/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3,24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CE16" w14:textId="5476A8CC" w:rsidR="0020188F" w:rsidRPr="00400DDD" w:rsidRDefault="0020188F" w:rsidP="002D5B46">
            <w:pPr>
              <w:tabs>
                <w:tab w:val="right" w:pos="1560"/>
              </w:tabs>
              <w:spacing w:after="0" w:line="259" w:lineRule="auto"/>
              <w:ind w:left="-10" w:right="0" w:firstLine="0"/>
              <w:jc w:val="lef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1,</w:t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27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ab/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1,06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</w:tc>
      </w:tr>
      <w:tr w:rsidR="00400DDD" w:rsidRPr="00400DDD" w14:paraId="758A99CB" w14:textId="77777777" w:rsidTr="002D5B46">
        <w:trPr>
          <w:trHeight w:val="36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061B" w14:textId="77777777" w:rsidR="0020188F" w:rsidRPr="00400DDD" w:rsidRDefault="0020188F" w:rsidP="002D5B46">
            <w:pPr>
              <w:spacing w:after="0" w:line="259" w:lineRule="auto"/>
              <w:ind w:left="0" w:right="66" w:firstLine="0"/>
              <w:jc w:val="right"/>
              <w:rPr>
                <w:rFonts w:ascii="Arial Narrow" w:hAnsi="Arial Narrow"/>
                <w:color w:val="auto"/>
              </w:rPr>
            </w:pPr>
            <w:r w:rsidRPr="00400DDD">
              <w:rPr>
                <w:rFonts w:ascii="Arial Narrow" w:hAnsi="Arial Narrow"/>
                <w:color w:val="auto"/>
                <w:sz w:val="20"/>
              </w:rPr>
              <w:t xml:space="preserve">Größer gleich 210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03D8" w14:textId="6F34FF67" w:rsidR="0020188F" w:rsidRPr="00400DDD" w:rsidRDefault="0020188F" w:rsidP="002D5B46">
            <w:pPr>
              <w:tabs>
                <w:tab w:val="right" w:pos="1824"/>
              </w:tabs>
              <w:spacing w:after="0" w:line="259" w:lineRule="auto"/>
              <w:ind w:left="-10" w:right="0" w:firstLine="0"/>
              <w:jc w:val="lef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0,</w:t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75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ab/>
              <w:t>0,</w:t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62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1443" w14:textId="76F5A1D4" w:rsidR="0020188F" w:rsidRPr="00400DDD" w:rsidRDefault="0020188F" w:rsidP="002D5B46">
            <w:pPr>
              <w:tabs>
                <w:tab w:val="right" w:pos="1870"/>
              </w:tabs>
              <w:spacing w:after="0" w:line="259" w:lineRule="auto"/>
              <w:ind w:left="-10" w:right="0" w:firstLine="0"/>
              <w:jc w:val="lef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0,</w:t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33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ab/>
              <w:t>0,</w:t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27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654148" w14:textId="77777777" w:rsidR="0020188F" w:rsidRPr="00400DDD" w:rsidRDefault="0020188F" w:rsidP="002D5B46">
            <w:pPr>
              <w:spacing w:after="160" w:line="259" w:lineRule="auto"/>
              <w:ind w:left="0" w:right="0" w:firstLine="0"/>
              <w:jc w:val="left"/>
              <w:rPr>
                <w:rFonts w:ascii="Arial Narrow" w:hAnsi="Arial Narrow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4172" w14:textId="77777777" w:rsidR="0020188F" w:rsidRPr="00400DDD" w:rsidRDefault="0020188F" w:rsidP="002D5B46">
            <w:pPr>
              <w:spacing w:after="0" w:line="259" w:lineRule="auto"/>
              <w:ind w:left="0" w:right="66" w:firstLine="0"/>
              <w:jc w:val="righ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Größer gleich 210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8788" w14:textId="1CBCBBDC" w:rsidR="0020188F" w:rsidRPr="00400DDD" w:rsidRDefault="0020188F" w:rsidP="002D5B46">
            <w:pPr>
              <w:tabs>
                <w:tab w:val="right" w:pos="1562"/>
              </w:tabs>
              <w:spacing w:after="0" w:line="259" w:lineRule="auto"/>
              <w:ind w:left="-10" w:right="0" w:firstLine="0"/>
              <w:jc w:val="lef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3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>,</w:t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44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ab/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2,87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5370" w14:textId="5C2837BB" w:rsidR="0020188F" w:rsidRPr="00400DDD" w:rsidRDefault="0020188F" w:rsidP="002D5B46">
            <w:pPr>
              <w:tabs>
                <w:tab w:val="right" w:pos="1560"/>
              </w:tabs>
              <w:spacing w:after="0" w:line="259" w:lineRule="auto"/>
              <w:ind w:left="-10" w:right="0" w:firstLine="0"/>
              <w:jc w:val="lef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1,12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ab/>
              <w:t>0,</w:t>
            </w:r>
            <w:r w:rsidR="009846B0">
              <w:rPr>
                <w:rFonts w:ascii="Arial Narrow" w:hAnsi="Arial Narrow"/>
                <w:color w:val="auto"/>
                <w:sz w:val="20"/>
                <w:szCs w:val="20"/>
              </w:rPr>
              <w:t>94</w:t>
            </w:r>
            <w:r w:rsidRPr="00400DDD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613B0418" w14:textId="77777777" w:rsidR="0020188F" w:rsidRPr="00400DDD" w:rsidRDefault="0020188F" w:rsidP="0020188F">
      <w:pPr>
        <w:spacing w:after="23" w:line="259" w:lineRule="auto"/>
        <w:ind w:left="-5" w:right="0"/>
        <w:jc w:val="left"/>
        <w:rPr>
          <w:rFonts w:ascii="Arial Narrow" w:hAnsi="Arial Narrow"/>
          <w:color w:val="auto"/>
        </w:rPr>
      </w:pPr>
      <w:r w:rsidRPr="00400DDD">
        <w:rPr>
          <w:rFonts w:ascii="Arial Narrow" w:hAnsi="Arial Narrow"/>
          <w:color w:val="auto"/>
        </w:rPr>
        <w:t xml:space="preserve">Beispiel: 100 m² Keller geflutet, 40 cm Wasserstand:  </w:t>
      </w:r>
    </w:p>
    <w:p w14:paraId="3018F698" w14:textId="77777777" w:rsidR="005737C0" w:rsidRDefault="005737C0" w:rsidP="00FA7484">
      <w:pPr>
        <w:tabs>
          <w:tab w:val="center" w:pos="6793"/>
        </w:tabs>
        <w:spacing w:after="23" w:line="259" w:lineRule="auto"/>
        <w:ind w:left="0" w:right="0" w:firstLine="0"/>
        <w:jc w:val="left"/>
        <w:rPr>
          <w:rFonts w:ascii="Arial Narrow" w:hAnsi="Arial Narrow"/>
          <w:color w:val="auto"/>
        </w:rPr>
      </w:pPr>
    </w:p>
    <w:p w14:paraId="48B8F1F2" w14:textId="77777777" w:rsidR="00FA7484" w:rsidRDefault="00FA7484" w:rsidP="00FA7484">
      <w:pPr>
        <w:tabs>
          <w:tab w:val="center" w:pos="6793"/>
        </w:tabs>
        <w:spacing w:after="23" w:line="259" w:lineRule="auto"/>
        <w:ind w:left="0" w:right="0" w:firstLine="0"/>
        <w:jc w:val="left"/>
        <w:rPr>
          <w:rFonts w:ascii="Arial Narrow" w:hAnsi="Arial Narrow"/>
          <w:color w:val="auto"/>
        </w:rPr>
      </w:pPr>
    </w:p>
    <w:p w14:paraId="7A26AAC0" w14:textId="021FED0D" w:rsidR="0020188F" w:rsidRPr="00400DDD" w:rsidRDefault="0020188F" w:rsidP="0020188F">
      <w:pPr>
        <w:tabs>
          <w:tab w:val="center" w:pos="6793"/>
        </w:tabs>
        <w:spacing w:after="23" w:line="259" w:lineRule="auto"/>
        <w:ind w:left="-15" w:right="0" w:firstLine="0"/>
        <w:jc w:val="left"/>
        <w:rPr>
          <w:rFonts w:ascii="Arial Narrow" w:hAnsi="Arial Narrow"/>
          <w:color w:val="auto"/>
        </w:rPr>
      </w:pPr>
      <w:r w:rsidRPr="00400DDD">
        <w:rPr>
          <w:rFonts w:ascii="Arial Narrow" w:hAnsi="Arial Narrow"/>
          <w:color w:val="auto"/>
        </w:rPr>
        <w:t xml:space="preserve">Berechnung des Bauschadens:   </w:t>
      </w:r>
      <w:r w:rsidRPr="00400DDD">
        <w:rPr>
          <w:rFonts w:ascii="Arial Narrow" w:hAnsi="Arial Narrow"/>
          <w:color w:val="auto"/>
        </w:rPr>
        <w:tab/>
        <w:t>100 x (1,</w:t>
      </w:r>
      <w:r w:rsidR="009846B0">
        <w:rPr>
          <w:rFonts w:ascii="Arial Narrow" w:hAnsi="Arial Narrow"/>
          <w:color w:val="auto"/>
        </w:rPr>
        <w:t>5</w:t>
      </w:r>
      <w:r w:rsidRPr="00400DDD">
        <w:rPr>
          <w:rFonts w:ascii="Arial Narrow" w:hAnsi="Arial Narrow"/>
          <w:color w:val="auto"/>
        </w:rPr>
        <w:t xml:space="preserve"> x 40)   = EUR </w:t>
      </w:r>
      <w:r w:rsidR="009846B0">
        <w:rPr>
          <w:rFonts w:ascii="Arial Narrow" w:hAnsi="Arial Narrow"/>
          <w:color w:val="auto"/>
        </w:rPr>
        <w:t>6</w:t>
      </w:r>
      <w:r w:rsidRPr="00400DDD">
        <w:rPr>
          <w:rFonts w:ascii="Arial Narrow" w:hAnsi="Arial Narrow"/>
          <w:color w:val="auto"/>
        </w:rPr>
        <w:t>.</w:t>
      </w:r>
      <w:r w:rsidR="009846B0">
        <w:rPr>
          <w:rFonts w:ascii="Arial Narrow" w:hAnsi="Arial Narrow"/>
          <w:color w:val="auto"/>
        </w:rPr>
        <w:t>0</w:t>
      </w:r>
      <w:r w:rsidRPr="00400DDD">
        <w:rPr>
          <w:rFonts w:ascii="Arial Narrow" w:hAnsi="Arial Narrow"/>
          <w:color w:val="auto"/>
        </w:rPr>
        <w:t xml:space="preserve">00,00  </w:t>
      </w:r>
    </w:p>
    <w:p w14:paraId="38717FC9" w14:textId="6AFF14C9" w:rsidR="0020188F" w:rsidRPr="00400DDD" w:rsidRDefault="0020188F" w:rsidP="0020188F">
      <w:pPr>
        <w:pStyle w:val="berschrift2"/>
        <w:numPr>
          <w:ilvl w:val="0"/>
          <w:numId w:val="0"/>
        </w:numPr>
        <w:tabs>
          <w:tab w:val="center" w:pos="6794"/>
        </w:tabs>
        <w:ind w:left="576" w:hanging="576"/>
        <w:rPr>
          <w:rFonts w:ascii="Arial Narrow" w:hAnsi="Arial Narrow"/>
          <w:color w:val="auto"/>
        </w:rPr>
      </w:pPr>
      <w:r w:rsidRPr="00400DDD">
        <w:rPr>
          <w:rFonts w:ascii="Arial Narrow" w:hAnsi="Arial Narrow"/>
          <w:color w:val="auto"/>
        </w:rPr>
        <w:t xml:space="preserve">Berechnung des Inventarschadens:  </w:t>
      </w:r>
      <w:r w:rsidRPr="00400DDD">
        <w:rPr>
          <w:rFonts w:ascii="Arial Narrow" w:hAnsi="Arial Narrow"/>
          <w:color w:val="auto"/>
        </w:rPr>
        <w:tab/>
        <w:t>100 x (0,</w:t>
      </w:r>
      <w:r w:rsidR="009846B0">
        <w:rPr>
          <w:rFonts w:ascii="Arial Narrow" w:hAnsi="Arial Narrow"/>
          <w:color w:val="auto"/>
        </w:rPr>
        <w:t>60</w:t>
      </w:r>
      <w:r w:rsidRPr="00400DDD">
        <w:rPr>
          <w:rFonts w:ascii="Arial Narrow" w:hAnsi="Arial Narrow"/>
          <w:color w:val="auto"/>
        </w:rPr>
        <w:t xml:space="preserve"> x 40) = EUR </w:t>
      </w:r>
      <w:r w:rsidR="009846B0">
        <w:rPr>
          <w:rFonts w:ascii="Arial Narrow" w:hAnsi="Arial Narrow"/>
          <w:color w:val="auto"/>
        </w:rPr>
        <w:t>2</w:t>
      </w:r>
      <w:r w:rsidRPr="00400DDD">
        <w:rPr>
          <w:rFonts w:ascii="Arial Narrow" w:hAnsi="Arial Narrow"/>
          <w:color w:val="auto"/>
        </w:rPr>
        <w:t>.</w:t>
      </w:r>
      <w:r w:rsidR="009846B0">
        <w:rPr>
          <w:rFonts w:ascii="Arial Narrow" w:hAnsi="Arial Narrow"/>
          <w:color w:val="auto"/>
        </w:rPr>
        <w:t>40</w:t>
      </w:r>
      <w:r w:rsidRPr="00400DDD">
        <w:rPr>
          <w:rFonts w:ascii="Arial Narrow" w:hAnsi="Arial Narrow"/>
          <w:color w:val="auto"/>
        </w:rPr>
        <w:t>0,00</w:t>
      </w:r>
      <w:r w:rsidRPr="00400DDD">
        <w:rPr>
          <w:rFonts w:ascii="Arial Narrow" w:hAnsi="Arial Narrow"/>
          <w:color w:val="auto"/>
          <w:u w:val="none"/>
        </w:rPr>
        <w:t xml:space="preserve">  </w:t>
      </w:r>
    </w:p>
    <w:p w14:paraId="75401B8E" w14:textId="2537DFA5" w:rsidR="0020188F" w:rsidRPr="00400DDD" w:rsidRDefault="0020188F" w:rsidP="0020188F">
      <w:pPr>
        <w:pStyle w:val="berschrift3"/>
        <w:numPr>
          <w:ilvl w:val="0"/>
          <w:numId w:val="0"/>
        </w:numPr>
        <w:ind w:left="720" w:hanging="706"/>
        <w:rPr>
          <w:rFonts w:ascii="Arial Narrow" w:hAnsi="Arial Narrow"/>
          <w:color w:val="auto"/>
        </w:rPr>
      </w:pPr>
      <w:r w:rsidRPr="00400DDD">
        <w:rPr>
          <w:rFonts w:ascii="Arial Narrow" w:hAnsi="Arial Narrow"/>
          <w:color w:val="auto"/>
        </w:rPr>
        <w:t xml:space="preserve">Schadenssumme:   </w:t>
      </w:r>
      <w:r w:rsidRPr="00400DDD">
        <w:rPr>
          <w:rFonts w:ascii="Arial Narrow" w:hAnsi="Arial Narrow"/>
          <w:color w:val="auto"/>
        </w:rPr>
        <w:tab/>
      </w:r>
      <w:r w:rsidRPr="00400DDD">
        <w:rPr>
          <w:rFonts w:ascii="Arial Narrow" w:hAnsi="Arial Narrow"/>
          <w:color w:val="auto"/>
        </w:rPr>
        <w:tab/>
      </w:r>
      <w:r w:rsidRPr="00400DDD">
        <w:rPr>
          <w:rFonts w:ascii="Arial Narrow" w:hAnsi="Arial Narrow"/>
          <w:color w:val="auto"/>
        </w:rPr>
        <w:tab/>
        <w:t xml:space="preserve">  </w:t>
      </w:r>
      <w:r w:rsidRPr="00400DDD">
        <w:rPr>
          <w:rFonts w:ascii="Arial Narrow" w:hAnsi="Arial Narrow"/>
          <w:color w:val="auto"/>
        </w:rPr>
        <w:tab/>
        <w:t xml:space="preserve">                 </w:t>
      </w:r>
      <w:r w:rsidRPr="00400DDD">
        <w:rPr>
          <w:rFonts w:ascii="Arial Narrow" w:hAnsi="Arial Narrow"/>
          <w:color w:val="auto"/>
        </w:rPr>
        <w:tab/>
        <w:t xml:space="preserve">  </w:t>
      </w:r>
      <w:r w:rsidRPr="00400DDD">
        <w:rPr>
          <w:rFonts w:ascii="Arial Narrow" w:hAnsi="Arial Narrow"/>
          <w:color w:val="auto"/>
        </w:rPr>
        <w:tab/>
        <w:t xml:space="preserve">         EUR </w:t>
      </w:r>
      <w:r w:rsidR="009846B0">
        <w:rPr>
          <w:rFonts w:ascii="Arial Narrow" w:hAnsi="Arial Narrow"/>
          <w:color w:val="auto"/>
        </w:rPr>
        <w:t>8</w:t>
      </w:r>
      <w:r w:rsidRPr="00400DDD">
        <w:rPr>
          <w:rFonts w:ascii="Arial Narrow" w:hAnsi="Arial Narrow"/>
          <w:color w:val="auto"/>
        </w:rPr>
        <w:t>.</w:t>
      </w:r>
      <w:r w:rsidR="009846B0">
        <w:rPr>
          <w:rFonts w:ascii="Arial Narrow" w:hAnsi="Arial Narrow"/>
          <w:color w:val="auto"/>
        </w:rPr>
        <w:t>40</w:t>
      </w:r>
      <w:r w:rsidRPr="00400DDD">
        <w:rPr>
          <w:rFonts w:ascii="Arial Narrow" w:hAnsi="Arial Narrow"/>
          <w:color w:val="auto"/>
        </w:rPr>
        <w:t xml:space="preserve">0,00  </w:t>
      </w:r>
    </w:p>
    <w:p w14:paraId="376E191D" w14:textId="77777777" w:rsidR="0020188F" w:rsidRPr="006F39B2" w:rsidRDefault="0020188F" w:rsidP="0020188F">
      <w:pPr>
        <w:rPr>
          <w:rFonts w:ascii="Arial Narrow" w:hAnsi="Arial Narrow"/>
        </w:rPr>
      </w:pPr>
    </w:p>
    <w:p w14:paraId="15C63133" w14:textId="77777777" w:rsidR="0020188F" w:rsidRPr="006F39B2" w:rsidRDefault="0020188F" w:rsidP="0020188F">
      <w:pPr>
        <w:ind w:left="24" w:right="847"/>
        <w:rPr>
          <w:rFonts w:ascii="Arial Narrow" w:hAnsi="Arial Narrow"/>
        </w:rPr>
      </w:pPr>
      <w:r w:rsidRPr="006F39B2">
        <w:rPr>
          <w:rFonts w:ascii="Arial Narrow" w:hAnsi="Arial Narrow"/>
        </w:rPr>
        <w:lastRenderedPageBreak/>
        <w:t xml:space="preserve">Bei Kellern mit wohnbaulicher Ausstattung werden die Sätze „Wohnraumschäden“ angewandt und bei „Wohnraumschäden“ mit Kellernutzung jene der „Kellerschäden“. Je nach Beschaffenheit des Bauwerks u. des Inventars können Zu- und Abschläge in der Höhe von max. 50 % gemacht werden. </w:t>
      </w:r>
    </w:p>
    <w:p w14:paraId="6F5A25D3" w14:textId="77777777" w:rsidR="0020188F" w:rsidRPr="006F39B2" w:rsidRDefault="0020188F" w:rsidP="0020188F">
      <w:pPr>
        <w:ind w:left="24" w:right="847"/>
        <w:rPr>
          <w:rFonts w:ascii="Arial Narrow" w:hAnsi="Arial Narrow"/>
        </w:rPr>
      </w:pPr>
      <w:r w:rsidRPr="006F39B2">
        <w:rPr>
          <w:rFonts w:ascii="Arial Narrow" w:hAnsi="Arial Narrow"/>
        </w:rPr>
        <w:t xml:space="preserve">In den o. a. Regelpauschalsätzen sind nicht berücksichtigt: Totalschäden, statische Schäden, Schäden an besonderen Haustechnikanlagen (z.B. Solarspeicher, Wasseraufbereitungsanlagen, Aufzüge) und Schäden durch ausgeflossenes Heizöl. </w:t>
      </w:r>
    </w:p>
    <w:p w14:paraId="706A079C" w14:textId="77777777" w:rsidR="0020188F" w:rsidRPr="006F39B2" w:rsidRDefault="0020188F" w:rsidP="0020188F">
      <w:pPr>
        <w:ind w:left="24" w:right="847"/>
        <w:rPr>
          <w:rFonts w:ascii="Arial Narrow" w:hAnsi="Arial Narrow"/>
        </w:rPr>
      </w:pPr>
      <w:r w:rsidRPr="006F39B2">
        <w:rPr>
          <w:rFonts w:ascii="Arial Narrow" w:hAnsi="Arial Narrow"/>
        </w:rPr>
        <w:t xml:space="preserve">Natürliche Personen erhalten für Eigenleistungen einen Stundensatz lt. Richtwert vom Maschinenring. Der Materialaufwand wird nach Rechnungslegung mitberücksichtigt. </w:t>
      </w:r>
    </w:p>
    <w:p w14:paraId="2EB2E488" w14:textId="77777777" w:rsidR="00CA08AF" w:rsidRDefault="0020188F" w:rsidP="0020188F">
      <w:pPr>
        <w:ind w:left="24" w:right="847"/>
        <w:rPr>
          <w:rFonts w:ascii="Arial Narrow" w:hAnsi="Arial Narrow"/>
        </w:rPr>
      </w:pPr>
      <w:r w:rsidRPr="006F39B2">
        <w:rPr>
          <w:rFonts w:ascii="Arial Narrow" w:hAnsi="Arial Narrow"/>
        </w:rPr>
        <w:t>Können Bau- und Inventarschäden auf Grund Ihrer Art und Ausmaßes durch die</w:t>
      </w:r>
      <w:r>
        <w:rPr>
          <w:rFonts w:ascii="Arial Narrow" w:hAnsi="Arial Narrow"/>
        </w:rPr>
        <w:t xml:space="preserve"> jeweiligen Sachverständigen des Amtes</w:t>
      </w:r>
      <w:r w:rsidRPr="006F39B2">
        <w:rPr>
          <w:rFonts w:ascii="Arial Narrow" w:hAnsi="Arial Narrow"/>
        </w:rPr>
        <w:t xml:space="preserve"> nicht bewertet werden, so ist dies auf dem Protokoll zu vermerken</w:t>
      </w:r>
      <w:r>
        <w:rPr>
          <w:rFonts w:ascii="Arial Narrow" w:hAnsi="Arial Narrow"/>
        </w:rPr>
        <w:t xml:space="preserve"> und es ist ein externes Gutachten einzuholen</w:t>
      </w:r>
      <w:r w:rsidRPr="006F39B2">
        <w:rPr>
          <w:rFonts w:ascii="Arial Narrow" w:hAnsi="Arial Narrow"/>
        </w:rPr>
        <w:t xml:space="preserve">. </w:t>
      </w:r>
    </w:p>
    <w:p w14:paraId="1FF60ECC" w14:textId="77777777" w:rsidR="00CA08AF" w:rsidRDefault="00CA08AF">
      <w:pPr>
        <w:spacing w:after="0" w:line="240" w:lineRule="auto"/>
        <w:ind w:left="0" w:right="0" w:firstLine="0"/>
        <w:jc w:val="left"/>
        <w:rPr>
          <w:rFonts w:ascii="Arial Narrow" w:hAnsi="Arial Narrow"/>
        </w:rPr>
      </w:pPr>
    </w:p>
    <w:p w14:paraId="450B4F12" w14:textId="77777777" w:rsidR="0020188F" w:rsidRPr="00CA08AF" w:rsidRDefault="0020188F" w:rsidP="00D97FF0">
      <w:pPr>
        <w:ind w:left="24" w:right="847"/>
        <w:rPr>
          <w:rFonts w:ascii="Arial Narrow" w:hAnsi="Arial Narrow"/>
        </w:rPr>
      </w:pPr>
    </w:p>
    <w:sectPr w:rsidR="0020188F" w:rsidRPr="00CA08AF" w:rsidSect="00D97FF0">
      <w:pgSz w:w="11906" w:h="16838"/>
      <w:pgMar w:top="1417" w:right="1417" w:bottom="1134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53BD6" w14:textId="77777777" w:rsidR="00EC4DEF" w:rsidRDefault="00EC4DEF" w:rsidP="00CA08AF">
      <w:pPr>
        <w:spacing w:after="0" w:line="240" w:lineRule="auto"/>
      </w:pPr>
      <w:r>
        <w:separator/>
      </w:r>
    </w:p>
  </w:endnote>
  <w:endnote w:type="continuationSeparator" w:id="0">
    <w:p w14:paraId="28C5DADA" w14:textId="77777777" w:rsidR="00EC4DEF" w:rsidRDefault="00EC4DEF" w:rsidP="00CA0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F0631" w14:textId="77777777" w:rsidR="00EC4DEF" w:rsidRDefault="00EC4DEF" w:rsidP="00CA08AF">
      <w:pPr>
        <w:spacing w:after="0" w:line="240" w:lineRule="auto"/>
      </w:pPr>
      <w:r>
        <w:separator/>
      </w:r>
    </w:p>
  </w:footnote>
  <w:footnote w:type="continuationSeparator" w:id="0">
    <w:p w14:paraId="5BFD60B2" w14:textId="77777777" w:rsidR="00EC4DEF" w:rsidRDefault="00EC4DEF" w:rsidP="00CA0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67632"/>
    <w:multiLevelType w:val="multilevel"/>
    <w:tmpl w:val="0C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861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88F"/>
    <w:rsid w:val="000A38A7"/>
    <w:rsid w:val="001329CF"/>
    <w:rsid w:val="001B3794"/>
    <w:rsid w:val="0020188F"/>
    <w:rsid w:val="002221B4"/>
    <w:rsid w:val="00245DA4"/>
    <w:rsid w:val="00400DDD"/>
    <w:rsid w:val="005737C0"/>
    <w:rsid w:val="006D45C7"/>
    <w:rsid w:val="006E3DA9"/>
    <w:rsid w:val="00777E3A"/>
    <w:rsid w:val="007C5C72"/>
    <w:rsid w:val="00804CDB"/>
    <w:rsid w:val="009846B0"/>
    <w:rsid w:val="00A87539"/>
    <w:rsid w:val="00CA08AF"/>
    <w:rsid w:val="00CE7C99"/>
    <w:rsid w:val="00D97FF0"/>
    <w:rsid w:val="00DD1BB7"/>
    <w:rsid w:val="00EC4DEF"/>
    <w:rsid w:val="00FA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75A32"/>
  <w15:chartTrackingRefBased/>
  <w15:docId w15:val="{B09DFCF5-4EF1-43A4-9795-1CBDA24A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188F"/>
    <w:pPr>
      <w:spacing w:after="237" w:line="255" w:lineRule="auto"/>
      <w:ind w:left="56" w:right="768" w:hanging="10"/>
      <w:jc w:val="both"/>
    </w:pPr>
    <w:rPr>
      <w:color w:val="000000"/>
      <w:sz w:val="24"/>
      <w:szCs w:val="22"/>
    </w:rPr>
  </w:style>
  <w:style w:type="paragraph" w:styleId="berschrift1">
    <w:name w:val="heading 1"/>
    <w:next w:val="Standard"/>
    <w:link w:val="berschrift1Zchn"/>
    <w:uiPriority w:val="9"/>
    <w:unhideWhenUsed/>
    <w:qFormat/>
    <w:rsid w:val="0020188F"/>
    <w:pPr>
      <w:keepNext/>
      <w:keepLines/>
      <w:numPr>
        <w:numId w:val="1"/>
      </w:numPr>
      <w:spacing w:after="61" w:line="260" w:lineRule="auto"/>
      <w:jc w:val="both"/>
      <w:outlineLvl w:val="0"/>
    </w:pPr>
    <w:rPr>
      <w:color w:val="000000"/>
      <w:sz w:val="28"/>
      <w:szCs w:val="22"/>
    </w:rPr>
  </w:style>
  <w:style w:type="paragraph" w:styleId="berschrift2">
    <w:name w:val="heading 2"/>
    <w:next w:val="Standard"/>
    <w:link w:val="berschrift2Zchn"/>
    <w:uiPriority w:val="9"/>
    <w:unhideWhenUsed/>
    <w:qFormat/>
    <w:rsid w:val="0020188F"/>
    <w:pPr>
      <w:keepNext/>
      <w:keepLines/>
      <w:numPr>
        <w:ilvl w:val="1"/>
        <w:numId w:val="1"/>
      </w:numPr>
      <w:spacing w:after="275" w:line="259" w:lineRule="auto"/>
      <w:outlineLvl w:val="1"/>
    </w:pPr>
    <w:rPr>
      <w:color w:val="000000"/>
      <w:sz w:val="24"/>
      <w:szCs w:val="22"/>
      <w:u w:val="single" w:color="000000"/>
    </w:rPr>
  </w:style>
  <w:style w:type="paragraph" w:styleId="berschrift3">
    <w:name w:val="heading 3"/>
    <w:next w:val="Standard"/>
    <w:link w:val="berschrift3Zchn"/>
    <w:uiPriority w:val="9"/>
    <w:unhideWhenUsed/>
    <w:qFormat/>
    <w:rsid w:val="0020188F"/>
    <w:pPr>
      <w:keepNext/>
      <w:keepLines/>
      <w:numPr>
        <w:ilvl w:val="2"/>
        <w:numId w:val="1"/>
      </w:numPr>
      <w:spacing w:line="312" w:lineRule="auto"/>
      <w:ind w:left="720" w:right="627"/>
      <w:outlineLvl w:val="2"/>
    </w:pPr>
    <w:rPr>
      <w:color w:val="000000"/>
      <w:sz w:val="24"/>
      <w:szCs w:val="22"/>
      <w:u w:color="00000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0188F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0188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0188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0188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0188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0188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0188F"/>
    <w:rPr>
      <w:color w:val="000000"/>
      <w:sz w:val="28"/>
      <w:szCs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0188F"/>
    <w:rPr>
      <w:color w:val="000000"/>
      <w:sz w:val="24"/>
      <w:szCs w:val="22"/>
      <w:u w:val="single" w:color="00000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0188F"/>
    <w:rPr>
      <w:color w:val="000000"/>
      <w:sz w:val="24"/>
      <w:szCs w:val="22"/>
      <w:u w:color="00000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0188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0188F"/>
    <w:rPr>
      <w:rFonts w:asciiTheme="majorHAnsi" w:eastAsiaTheme="majorEastAsia" w:hAnsiTheme="majorHAnsi" w:cstheme="majorBidi"/>
      <w:color w:val="365F91" w:themeColor="accent1" w:themeShade="BF"/>
      <w:sz w:val="24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0188F"/>
    <w:rPr>
      <w:rFonts w:asciiTheme="majorHAnsi" w:eastAsiaTheme="majorEastAsia" w:hAnsiTheme="majorHAnsi" w:cstheme="majorBidi"/>
      <w:color w:val="243F60" w:themeColor="accent1" w:themeShade="7F"/>
      <w:sz w:val="24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0188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0188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0188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">
    <w:name w:val="TableGrid"/>
    <w:rsid w:val="0020188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CA0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08AF"/>
    <w:rPr>
      <w:color w:val="000000"/>
      <w:sz w:val="24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CA0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08AF"/>
    <w:rPr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ACCEB-B206-427C-BD06-519FFE722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Burgenland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Wutschitz Christian Mathias</dc:creator>
  <cp:keywords/>
  <dc:description/>
  <cp:lastModifiedBy>Szinovatz Ljuba Maria</cp:lastModifiedBy>
  <cp:revision>3</cp:revision>
  <dcterms:created xsi:type="dcterms:W3CDTF">2024-06-12T08:47:00Z</dcterms:created>
  <dcterms:modified xsi:type="dcterms:W3CDTF">2024-06-12T12:39:00Z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BGLDCFG@15.1700:SubFileCollectionSubject" pid="2" fmtid="{D5CDD505-2E9C-101B-9397-08002B2CF9AE}">
    <vt:lpwstr/>
  </property>
  <property name="FSC#BGLDCFG@15.1700:SubFileCollectionFileReference" pid="3" fmtid="{D5CDD505-2E9C-101B-9397-08002B2CF9AE}">
    <vt:lpwstr>2024-008.172-6</vt:lpwstr>
  </property>
  <property name="FSC#BGLDCFG@15.1700:SubFileCollectionYear" pid="4" fmtid="{D5CDD505-2E9C-101B-9397-08002B2CF9AE}">
    <vt:lpwstr>2024</vt:lpwstr>
  </property>
  <property name="FSC#BGLDCFG@15.1700:SubFileCollectionSubFileNumber" pid="5" fmtid="{D5CDD505-2E9C-101B-9397-08002B2CF9AE}">
    <vt:lpwstr>6</vt:lpwstr>
  </property>
  <property name="FSC#BGLDCFG@15.1700:SubFileCollectionRespOrgShort" pid="6" fmtid="{D5CDD505-2E9C-101B-9397-08002B2CF9AE}">
    <vt:lpwstr>A4-HNS-RAA</vt:lpwstr>
  </property>
  <property name="FSC#BGLDCFG@15.1700:SubFileCollectionRespOrgLong" pid="7" fmtid="{D5CDD505-2E9C-101B-9397-08002B2CF9AE}">
    <vt:lpwstr>Referat Agrarwesen und Agrarpolitik</vt:lpwstr>
  </property>
  <property name="FSC#BGLDCFG@15.1700:SubFileCollectionUrgency" pid="8" fmtid="{D5CDD505-2E9C-101B-9397-08002B2CF9AE}">
    <vt:lpwstr/>
  </property>
  <property name="FSC#BGLDCFG@15.1700:SubFileCollectionTitle" pid="9" fmtid="{D5CDD505-2E9C-101B-9397-08002B2CF9AE}">
    <vt:lpwstr>Sonderrichtlinie 2024 - Katastrophenbeihilfe</vt:lpwstr>
  </property>
  <property name="FSC#BGLDCFG@15.1700:SubFileDocumentAgentTitle" pid="10" fmtid="{D5CDD505-2E9C-101B-9397-08002B2CF9AE}">
    <vt:lpwstr/>
  </property>
  <property name="FSC#BGLDCFG@15.1700:SubFileDocumentAgentFirstName" pid="11" fmtid="{D5CDD505-2E9C-101B-9397-08002B2CF9AE}">
    <vt:lpwstr>Philip</vt:lpwstr>
  </property>
  <property name="FSC#BGLDCFG@15.1700:SubFileDocumentAgentSurName" pid="12" fmtid="{D5CDD505-2E9C-101B-9397-08002B2CF9AE}">
    <vt:lpwstr>Drews</vt:lpwstr>
  </property>
  <property name="FSC#BGLDCFG@15.1700:SubFileDocumentAgentPostTitle" pid="13" fmtid="{D5CDD505-2E9C-101B-9397-08002B2CF9AE}">
    <vt:lpwstr/>
  </property>
  <property name="FSC#BGLDCFG@15.1700:SubFileDocumentApproverPostTitle" pid="14" fmtid="{D5CDD505-2E9C-101B-9397-08002B2CF9AE}">
    <vt:lpwstr/>
  </property>
  <property name="FSC#BGLDCFG@15.1700:SubFileDocumentORGShortenedName" pid="15" fmtid="{D5CDD505-2E9C-101B-9397-08002B2CF9AE}">
    <vt:lpwstr>Referat Agrarwesen und Agrarpolitik</vt:lpwstr>
  </property>
  <property name="FSC#BGLDCFG@15.1700:SubFileDocumentCreatorPersCode" pid="16" fmtid="{D5CDD505-2E9C-101B-9397-08002B2CF9AE}">
    <vt:lpwstr>L0157015</vt:lpwstr>
  </property>
  <property name="FSC#BGLDCFG@15.1700:DispatchClause" pid="17" fmtid="{D5CDD505-2E9C-101B-9397-08002B2CF9AE}">
    <vt:lpwstr/>
  </property>
  <property name="FSC#BGLDCFG@15.1700:ShortNameDepartment" pid="18" fmtid="{D5CDD505-2E9C-101B-9397-08002B2CF9AE}">
    <vt:lpwstr>A4</vt:lpwstr>
  </property>
  <property name="FSC#BGLDCFG@15.1700:ShortNameAdvocacy" pid="19" fmtid="{D5CDD505-2E9C-101B-9397-08002B2CF9AE}">
    <vt:lpwstr/>
  </property>
  <property name="FSC#BGLDCFG@15.1700:ShortNameDistrictAuthority" pid="20" fmtid="{D5CDD505-2E9C-101B-9397-08002B2CF9AE}">
    <vt:lpwstr/>
  </property>
  <property name="FSC#BGLDCFG@15.1700:ShortNameBureauFinancialOfficer" pid="21" fmtid="{D5CDD505-2E9C-101B-9397-08002B2CF9AE}">
    <vt:lpwstr>LH</vt:lpwstr>
  </property>
  <property name="FSC#BGLDCFG@15.1700:ShortNameBureauGovenor" pid="22" fmtid="{D5CDD505-2E9C-101B-9397-08002B2CF9AE}">
    <vt:lpwstr>LH</vt:lpwstr>
  </property>
  <property name="FSC#BGLDCFG@15.1700:ShortNameBureauDeputyGovenor" pid="23" fmtid="{D5CDD505-2E9C-101B-9397-08002B2CF9AE}">
    <vt:lpwstr>LH-Stv</vt:lpwstr>
  </property>
  <property name="FSC#BGLDCFG@15.1700:ShortNameGroup" pid="24" fmtid="{D5CDD505-2E9C-101B-9397-08002B2CF9AE}">
    <vt:lpwstr>G4</vt:lpwstr>
  </property>
  <property name="FSC#BGLDCFG@15.1700:ShortNameMainOffice" pid="25" fmtid="{D5CDD505-2E9C-101B-9397-08002B2CF9AE}">
    <vt:lpwstr>A4-HNS</vt:lpwstr>
  </property>
  <property name="FSC#BGLDCFG@15.1700:ShortNameStateOfficeDirectorate" pid="26" fmtid="{D5CDD505-2E9C-101B-9397-08002B2CF9AE}">
    <vt:lpwstr>LAD</vt:lpwstr>
  </property>
  <property name="FSC#BGLDCFG@15.1700:ShortNameSubordinatedDepartment" pid="27" fmtid="{D5CDD505-2E9C-101B-9397-08002B2CF9AE}">
    <vt:lpwstr/>
  </property>
  <property name="FSC#BGLDCFG@15.1700:ShortNameOmbudsman" pid="28" fmtid="{D5CDD505-2E9C-101B-9397-08002B2CF9AE}">
    <vt:lpwstr/>
  </property>
  <property name="FSC#BGLDCFG@15.1700:ShortNameBureauProvincialCouncil" pid="29" fmtid="{D5CDD505-2E9C-101B-9397-08002B2CF9AE}">
    <vt:lpwstr/>
  </property>
  <property name="FSC#BGLDCFG@15.1700:ShortNameOffice" pid="30" fmtid="{D5CDD505-2E9C-101B-9397-08002B2CF9AE}">
    <vt:lpwstr>A4-HNS-RAA</vt:lpwstr>
  </property>
  <property name="FSC#BGLDCFG@15.1700:ShortNameServicePoint" pid="31" fmtid="{D5CDD505-2E9C-101B-9397-08002B2CF9AE}">
    <vt:lpwstr/>
  </property>
  <property name="FSC#BGLDCFG@15.1700:ShortNameStaffDepartment" pid="32" fmtid="{D5CDD505-2E9C-101B-9397-08002B2CF9AE}">
    <vt:lpwstr/>
  </property>
  <property name="FSC#BGLDCFG@15.1700:ShortNameExecutiveDepartment" pid="33" fmtid="{D5CDD505-2E9C-101B-9397-08002B2CF9AE}">
    <vt:lpwstr/>
  </property>
  <property name="FSC#BGLDCFG@15.1700:ShortenedNameDepartment" pid="34" fmtid="{D5CDD505-2E9C-101B-9397-08002B2CF9AE}">
    <vt:lpwstr>Abteilung 4 - Agrarwesen, Natur- und Klimaschutz</vt:lpwstr>
  </property>
  <property name="FSC#BGLDCFG@15.1700:ShortenedNameAdvocacy" pid="35" fmtid="{D5CDD505-2E9C-101B-9397-08002B2CF9AE}">
    <vt:lpwstr/>
  </property>
  <property name="FSC#BGLDCFG@15.1700:ShortenedNameDistrictAuthority" pid="36" fmtid="{D5CDD505-2E9C-101B-9397-08002B2CF9AE}">
    <vt:lpwstr/>
  </property>
  <property name="FSC#BGLDCFG@15.1700:ShortenedNameBureauFinancialOfficer" pid="37" fmtid="{D5CDD505-2E9C-101B-9397-08002B2CF9AE}">
    <vt:lpwstr>Hans Peter Doskozil</vt:lpwstr>
  </property>
  <property name="FSC#BGLDCFG@15.1700:ShortenedNameBureauGovenor" pid="38" fmtid="{D5CDD505-2E9C-101B-9397-08002B2CF9AE}">
    <vt:lpwstr>Hans Peter Doskozil</vt:lpwstr>
  </property>
  <property name="FSC#BGLDCFG@15.1700:ShortenedNameBureauDeputyGovenor" pid="39" fmtid="{D5CDD505-2E9C-101B-9397-08002B2CF9AE}">
    <vt:lpwstr>Astrid Eisenkopf</vt:lpwstr>
  </property>
  <property name="FSC#BGLDCFG@15.1700:ShortenedNameGroup" pid="40" fmtid="{D5CDD505-2E9C-101B-9397-08002B2CF9AE}">
    <vt:lpwstr>Gruppe 4 – Gruppenvorstand WHR DI Josef Wagner</vt:lpwstr>
  </property>
  <property name="FSC#BGLDCFG@15.1700:ShortenedNameMainOffice" pid="41" fmtid="{D5CDD505-2E9C-101B-9397-08002B2CF9AE}">
    <vt:lpwstr>Hauptreferat Naturschutz, Landschaftspflege und Agrarwesen</vt:lpwstr>
  </property>
  <property name="FSC#BGLDCFG@15.1700:ShortenedNameStateOfficeDirectorate" pid="42" fmtid="{D5CDD505-2E9C-101B-9397-08002B2CF9AE}">
    <vt:lpwstr>Landesamtsdirektor Mag. Ronald Reiter, MA</vt:lpwstr>
  </property>
  <property name="FSC#BGLDCFG@15.1700:ShortenedNameSubordinatedDepartment" pid="43" fmtid="{D5CDD505-2E9C-101B-9397-08002B2CF9AE}">
    <vt:lpwstr/>
  </property>
  <property name="FSC#BGLDCFG@15.1700:ShortenedNameOmbudsman" pid="44" fmtid="{D5CDD505-2E9C-101B-9397-08002B2CF9AE}">
    <vt:lpwstr/>
  </property>
  <property name="FSC#BGLDCFG@15.1700:ShortenedNameBureauProvincialCouncil" pid="45" fmtid="{D5CDD505-2E9C-101B-9397-08002B2CF9AE}">
    <vt:lpwstr/>
  </property>
  <property name="FSC#BGLDCFG@15.1700:ShortenedNameOffice" pid="46" fmtid="{D5CDD505-2E9C-101B-9397-08002B2CF9AE}">
    <vt:lpwstr>Referat Agrarwesen und Agrarpolitik</vt:lpwstr>
  </property>
  <property name="FSC#BGLDCFG@15.1700:ShortenedNameServicePoint" pid="47" fmtid="{D5CDD505-2E9C-101B-9397-08002B2CF9AE}">
    <vt:lpwstr/>
  </property>
  <property name="FSC#BGLDCFG@15.1700:ShortenedNameStaffDepartment" pid="48" fmtid="{D5CDD505-2E9C-101B-9397-08002B2CF9AE}">
    <vt:lpwstr/>
  </property>
  <property name="FSC#BGLDCFG@15.1700:ShortenedNameExecutiveDepartment" pid="49" fmtid="{D5CDD505-2E9C-101B-9397-08002B2CF9AE}">
    <vt:lpwstr/>
  </property>
  <property name="FSC#BGLDCFG@15.1700:LongNameDepartment" pid="50" fmtid="{D5CDD505-2E9C-101B-9397-08002B2CF9AE}">
    <vt:lpwstr>Abteilung 4 - Agrarwesen, Natur- und Klimaschutz</vt:lpwstr>
  </property>
  <property name="FSC#BGLDCFG@15.1700:LongNameAdvocacy" pid="51" fmtid="{D5CDD505-2E9C-101B-9397-08002B2CF9AE}">
    <vt:lpwstr/>
  </property>
  <property name="FSC#BGLDCFG@15.1700:LongNameDistrictAuthority" pid="52" fmtid="{D5CDD505-2E9C-101B-9397-08002B2CF9AE}">
    <vt:lpwstr/>
  </property>
  <property name="FSC#BGLDCFG@15.1700:LongNameBureauFinancialOfficer" pid="53" fmtid="{D5CDD505-2E9C-101B-9397-08002B2CF9AE}">
    <vt:lpwstr>Büro Landeshauptmann Doskozil</vt:lpwstr>
  </property>
  <property name="FSC#BGLDCFG@15.1700:LongNameBureauGovenor" pid="54" fmtid="{D5CDD505-2E9C-101B-9397-08002B2CF9AE}">
    <vt:lpwstr>Büro Landeshauptmann Doskozil</vt:lpwstr>
  </property>
  <property name="FSC#BGLDCFG@15.1700:LongNameBureauDeputyGovenor" pid="55" fmtid="{D5CDD505-2E9C-101B-9397-08002B2CF9AE}">
    <vt:lpwstr>Büro Landeshauptmann-Stellvertreterin Eisenkopf</vt:lpwstr>
  </property>
  <property name="FSC#BGLDCFG@15.1700:LongNameGroup" pid="56" fmtid="{D5CDD505-2E9C-101B-9397-08002B2CF9AE}">
    <vt:lpwstr>Gruppe 4</vt:lpwstr>
  </property>
  <property name="FSC#BGLDCFG@15.1700:LongNameMainOffice" pid="57" fmtid="{D5CDD505-2E9C-101B-9397-08002B2CF9AE}">
    <vt:lpwstr>Hauptreferat Naturschutz, Landschaftspflege und Agrarwesen</vt:lpwstr>
  </property>
  <property name="FSC#BGLDCFG@15.1700:LongNameStateOfficeDirectorate" pid="58" fmtid="{D5CDD505-2E9C-101B-9397-08002B2CF9AE}">
    <vt:lpwstr>Landesamtsdirektion</vt:lpwstr>
  </property>
  <property name="FSC#BGLDCFG@15.1700:LongNameSubordinatedDepartment" pid="59" fmtid="{D5CDD505-2E9C-101B-9397-08002B2CF9AE}">
    <vt:lpwstr/>
  </property>
  <property name="FSC#BGLDCFG@15.1700:LongNameOmbudsman" pid="60" fmtid="{D5CDD505-2E9C-101B-9397-08002B2CF9AE}">
    <vt:lpwstr/>
  </property>
  <property name="FSC#BGLDCFG@15.1700:LongNameBureauProvincialCouncil" pid="61" fmtid="{D5CDD505-2E9C-101B-9397-08002B2CF9AE}">
    <vt:lpwstr/>
  </property>
  <property name="FSC#BGLDCFG@15.1700:LongNameOffice" pid="62" fmtid="{D5CDD505-2E9C-101B-9397-08002B2CF9AE}">
    <vt:lpwstr>Referat Agrarwesen und Agrarpolitik</vt:lpwstr>
  </property>
  <property name="FSC#BGLDCFG@15.1700:LongNameServicePoint" pid="63" fmtid="{D5CDD505-2E9C-101B-9397-08002B2CF9AE}">
    <vt:lpwstr/>
  </property>
  <property name="FSC#BGLDCFG@15.1700:LongNameStaffDepartment" pid="64" fmtid="{D5CDD505-2E9C-101B-9397-08002B2CF9AE}">
    <vt:lpwstr/>
  </property>
  <property name="FSC#BGLDCFG@15.1700:LongNameExecutiveDepartment" pid="65" fmtid="{D5CDD505-2E9C-101B-9397-08002B2CF9AE}">
    <vt:lpwstr/>
  </property>
  <property name="FSC#BGLDCFG@15.1700:EMailDepartment" pid="66" fmtid="{D5CDD505-2E9C-101B-9397-08002B2CF9AE}">
    <vt:lpwstr>post.a4@bgld.gv.at</vt:lpwstr>
  </property>
  <property name="FSC#BGLDCFG@15.1700:EMailAdvocacy" pid="67" fmtid="{D5CDD505-2E9C-101B-9397-08002B2CF9AE}">
    <vt:lpwstr/>
  </property>
  <property name="FSC#BGLDCFG@15.1700:EMailDistrictAuthority" pid="68" fmtid="{D5CDD505-2E9C-101B-9397-08002B2CF9AE}">
    <vt:lpwstr/>
  </property>
  <property name="FSC#BGLDCFG@15.1700:EMailBureauFinancialOfficer" pid="69" fmtid="{D5CDD505-2E9C-101B-9397-08002B2CF9AE}">
    <vt:lpwstr>hans-peter.doskozil@bgld.gv.at</vt:lpwstr>
  </property>
  <property name="FSC#BGLDCFG@15.1700:EMailBureauGovenor" pid="70" fmtid="{D5CDD505-2E9C-101B-9397-08002B2CF9AE}">
    <vt:lpwstr>hans-peter.doskozil@bgld.gv.at</vt:lpwstr>
  </property>
  <property name="FSC#BGLDCFG@15.1700:EMailBureauDeputyGovenor" pid="71" fmtid="{D5CDD505-2E9C-101B-9397-08002B2CF9AE}">
    <vt:lpwstr>astrid.eisenkopf@bgld.gv.at</vt:lpwstr>
  </property>
  <property name="FSC#BGLDCFG@15.1700:EMailGroup" pid="72" fmtid="{D5CDD505-2E9C-101B-9397-08002B2CF9AE}">
    <vt:lpwstr>post.gruppe4@bgld.gv.at</vt:lpwstr>
  </property>
  <property name="FSC#BGLDCFG@15.1700:EMailMainOffice" pid="73" fmtid="{D5CDD505-2E9C-101B-9397-08002B2CF9AE}">
    <vt:lpwstr>post.a4-natur-lebensraum@bgld.gv.at</vt:lpwstr>
  </property>
  <property name="FSC#BGLDCFG@15.1700:EMailStateOfficeDirectorate" pid="74" fmtid="{D5CDD505-2E9C-101B-9397-08002B2CF9AE}">
    <vt:lpwstr>post.lad@bgld.gv.at</vt:lpwstr>
  </property>
  <property name="FSC#BGLDCFG@15.1700:EMailSubordinatedDepartment" pid="75" fmtid="{D5CDD505-2E9C-101B-9397-08002B2CF9AE}">
    <vt:lpwstr/>
  </property>
  <property name="FSC#BGLDCFG@15.1700:EMailOmbudsman" pid="76" fmtid="{D5CDD505-2E9C-101B-9397-08002B2CF9AE}">
    <vt:lpwstr/>
  </property>
  <property name="FSC#BGLDCFG@15.1700:EMailBureauProvincialCouncil" pid="77" fmtid="{D5CDD505-2E9C-101B-9397-08002B2CF9AE}">
    <vt:lpwstr/>
  </property>
  <property name="FSC#BGLDCFG@15.1700:EMailOffice" pid="78" fmtid="{D5CDD505-2E9C-101B-9397-08002B2CF9AE}">
    <vt:lpwstr>post.a4-agrarwesen@bgld.gv.at</vt:lpwstr>
  </property>
  <property name="FSC#BGLDCFG@15.1700:EMailServicePoint" pid="79" fmtid="{D5CDD505-2E9C-101B-9397-08002B2CF9AE}">
    <vt:lpwstr/>
  </property>
  <property name="FSC#BGLDCFG@15.1700:EMailStaffDepartment" pid="80" fmtid="{D5CDD505-2E9C-101B-9397-08002B2CF9AE}">
    <vt:lpwstr/>
  </property>
  <property name="FSC#BGLDCFG@15.1700:EMailExecutiveDepartment" pid="81" fmtid="{D5CDD505-2E9C-101B-9397-08002B2CF9AE}">
    <vt:lpwstr/>
  </property>
  <property name="FSC#BGLDCFG@15.1700:PhoneNumberDepartment" pid="82" fmtid="{D5CDD505-2E9C-101B-9397-08002B2CF9AE}">
    <vt:lpwstr>+43 57 600-2360</vt:lpwstr>
  </property>
  <property name="FSC#BGLDCFG@15.1700:PhoneNumberAdvocacy" pid="83" fmtid="{D5CDD505-2E9C-101B-9397-08002B2CF9AE}">
    <vt:lpwstr/>
  </property>
  <property name="FSC#BGLDCFG@15.1700:PhoneNumberDistrictAuthority" pid="84" fmtid="{D5CDD505-2E9C-101B-9397-08002B2CF9AE}">
    <vt:lpwstr/>
  </property>
  <property name="FSC#BGLDCFG@15.1700:PhoneNumberBureauFinancialOfficer" pid="85" fmtid="{D5CDD505-2E9C-101B-9397-08002B2CF9AE}">
    <vt:lpwstr>+43 57 600 2200</vt:lpwstr>
  </property>
  <property name="FSC#BGLDCFG@15.1700:PhoneNumberBureauGovenor" pid="86" fmtid="{D5CDD505-2E9C-101B-9397-08002B2CF9AE}">
    <vt:lpwstr>+43 57 600 2200</vt:lpwstr>
  </property>
  <property name="FSC#BGLDCFG@15.1700:PhoneNumberBureauDeputyGovenor" pid="87" fmtid="{D5CDD505-2E9C-101B-9397-08002B2CF9AE}">
    <vt:lpwstr>+43 57 600 2210</vt:lpwstr>
  </property>
  <property name="FSC#BGLDCFG@15.1700:PhoneNumberGroup" pid="88" fmtid="{D5CDD505-2E9C-101B-9397-08002B2CF9AE}">
    <vt:lpwstr>+43 57 600-5714</vt:lpwstr>
  </property>
  <property name="FSC#BGLDCFG@15.1700:PhoneNumberMainOffice" pid="89" fmtid="{D5CDD505-2E9C-101B-9397-08002B2CF9AE}">
    <vt:lpwstr>+43 57 600-2146</vt:lpwstr>
  </property>
  <property name="FSC#BGLDCFG@15.1700:PhoneNumberStateOfficeDirectorate" pid="90" fmtid="{D5CDD505-2E9C-101B-9397-08002B2CF9AE}">
    <vt:lpwstr>+43 57 600-2217</vt:lpwstr>
  </property>
  <property name="FSC#BGLDCFG@15.1700:PhoneNumberSubordinatedDepartment" pid="91" fmtid="{D5CDD505-2E9C-101B-9397-08002B2CF9AE}">
    <vt:lpwstr/>
  </property>
  <property name="FSC#BGLDCFG@15.1700:PhoneNumberOmbudsman" pid="92" fmtid="{D5CDD505-2E9C-101B-9397-08002B2CF9AE}">
    <vt:lpwstr/>
  </property>
  <property name="FSC#BGLDCFG@15.1700:PhoneNumberBureauProvincialCouncil" pid="93" fmtid="{D5CDD505-2E9C-101B-9397-08002B2CF9AE}">
    <vt:lpwstr/>
  </property>
  <property name="FSC#BGLDCFG@15.1700:PhoneNumberOffice" pid="94" fmtid="{D5CDD505-2E9C-101B-9397-08002B2CF9AE}">
    <vt:lpwstr>+43 57 600-2019</vt:lpwstr>
  </property>
  <property name="FSC#BGLDCFG@15.1700:PhoneNumberServicePoint" pid="95" fmtid="{D5CDD505-2E9C-101B-9397-08002B2CF9AE}">
    <vt:lpwstr/>
  </property>
  <property name="FSC#BGLDCFG@15.1700:PhoneNumberStaffDepartment" pid="96" fmtid="{D5CDD505-2E9C-101B-9397-08002B2CF9AE}">
    <vt:lpwstr/>
  </property>
  <property name="FSC#BGLDCFG@15.1700:PhoneNumberExecutiveDepartment" pid="97" fmtid="{D5CDD505-2E9C-101B-9397-08002B2CF9AE}">
    <vt:lpwstr/>
  </property>
  <property name="FSC#BGLDCFG@15.1700:AddressDepartment" pid="98" fmtid="{D5CDD505-2E9C-101B-9397-08002B2CF9AE}">
    <vt:lpwstr>Europaplatz 1, 7000 Eisenstadt</vt:lpwstr>
  </property>
  <property name="FSC#BGLDCFG@15.1700:AddressAdvocacy" pid="99" fmtid="{D5CDD505-2E9C-101B-9397-08002B2CF9AE}">
    <vt:lpwstr/>
  </property>
  <property name="FSC#BGLDCFG@15.1700:AddressDistrictAuthority" pid="100" fmtid="{D5CDD505-2E9C-101B-9397-08002B2CF9AE}">
    <vt:lpwstr/>
  </property>
  <property name="FSC#BGLDCFG@15.1700:AddressBureauFinancialOfficer" pid="101" fmtid="{D5CDD505-2E9C-101B-9397-08002B2CF9AE}">
    <vt:lpwstr>Europaplatz 1, 7000 Eisenstadt</vt:lpwstr>
  </property>
  <property name="FSC#BGLDCFG@15.1700:AddressBureauGovenor" pid="102" fmtid="{D5CDD505-2E9C-101B-9397-08002B2CF9AE}">
    <vt:lpwstr>Europaplatz 1, 7000 Eisenstadt</vt:lpwstr>
  </property>
  <property name="FSC#BGLDCFG@15.1700:AddressBureauDeputyGovenor" pid="103" fmtid="{D5CDD505-2E9C-101B-9397-08002B2CF9AE}">
    <vt:lpwstr>Europaplatz 1, 7000 Eisenstadt</vt:lpwstr>
  </property>
  <property name="FSC#BGLDCFG@15.1700:AddressGroup" pid="104" fmtid="{D5CDD505-2E9C-101B-9397-08002B2CF9AE}">
    <vt:lpwstr>Europaplatz 1, 7000 Eisenstadt</vt:lpwstr>
  </property>
  <property name="FSC#BGLDCFG@15.1700:AddressMainOffice" pid="105" fmtid="{D5CDD505-2E9C-101B-9397-08002B2CF9AE}">
    <vt:lpwstr>Europaplatz 1, 7000 Eisenstadt</vt:lpwstr>
  </property>
  <property name="FSC#BGLDCFG@15.1700:AddressStateOfficeDirectorate" pid="106" fmtid="{D5CDD505-2E9C-101B-9397-08002B2CF9AE}">
    <vt:lpwstr>Europaplatz 1, 7000 Eisenstadt</vt:lpwstr>
  </property>
  <property name="FSC#BGLDCFG@15.1700:AddressSubordinatedDepartment" pid="107" fmtid="{D5CDD505-2E9C-101B-9397-08002B2CF9AE}">
    <vt:lpwstr/>
  </property>
  <property name="FSC#BGLDCFG@15.1700:AddressOmbudsman" pid="108" fmtid="{D5CDD505-2E9C-101B-9397-08002B2CF9AE}">
    <vt:lpwstr/>
  </property>
  <property name="FSC#BGLDCFG@15.1700:AddressBureauProvincialCouncil" pid="109" fmtid="{D5CDD505-2E9C-101B-9397-08002B2CF9AE}">
    <vt:lpwstr/>
  </property>
  <property name="FSC#BGLDCFG@15.1700:AddressOffice" pid="110" fmtid="{D5CDD505-2E9C-101B-9397-08002B2CF9AE}">
    <vt:lpwstr>Europaplatz 1, 7000 Eisenstadt</vt:lpwstr>
  </property>
  <property name="FSC#BGLDCFG@15.1700:AddressServicePoint" pid="111" fmtid="{D5CDD505-2E9C-101B-9397-08002B2CF9AE}">
    <vt:lpwstr/>
  </property>
  <property name="FSC#BGLDCFG@15.1700:AddressStaffDepartment" pid="112" fmtid="{D5CDD505-2E9C-101B-9397-08002B2CF9AE}">
    <vt:lpwstr/>
  </property>
  <property name="FSC#BGLDCFG@15.1700:AddressExecutiveDepartment" pid="113" fmtid="{D5CDD505-2E9C-101B-9397-08002B2CF9AE}">
    <vt:lpwstr/>
  </property>
  <property name="FSC#BGLDCFG@15.1700:ContentApproverPostTitle" pid="114" fmtid="{D5CDD505-2E9C-101B-9397-08002B2CF9AE}">
    <vt:lpwstr/>
  </property>
  <property name="FSC#BGLDCFG@15.1700:ContentApproverSurName" pid="115" fmtid="{D5CDD505-2E9C-101B-9397-08002B2CF9AE}">
    <vt:lpwstr/>
  </property>
  <property name="FSC#BGLDCFG@15.1700:ContentApprovedSignature" pid="116" fmtid="{D5CDD505-2E9C-101B-9397-08002B2CF9AE}">
    <vt:lpwstr/>
  </property>
  <property name="FSC#BGLDCFG@15.1700:ContentApproverTitle" pid="117" fmtid="{D5CDD505-2E9C-101B-9397-08002B2CF9AE}">
    <vt:lpwstr/>
  </property>
  <property name="FSC#BGLDCFG@15.1700:ContentApproverFirstName" pid="118" fmtid="{D5CDD505-2E9C-101B-9397-08002B2CF9AE}">
    <vt:lpwstr/>
  </property>
  <property name="FSC#BGLDCFG@15.1700:BDGovermentMeetingDate" pid="119" fmtid="{D5CDD505-2E9C-101B-9397-08002B2CF9AE}">
    <vt:lpwstr/>
  </property>
  <property name="FSC#BGLDCFG@15.1700:GovernmentDecisionSignature" pid="120" fmtid="{D5CDD505-2E9C-101B-9397-08002B2CF9AE}">
    <vt:lpwstr/>
  </property>
  <property name="FSC#COOELAK@1.1001:Subject" pid="121" fmtid="{D5CDD505-2E9C-101B-9397-08002B2CF9AE}">
    <vt:lpwstr/>
  </property>
  <property name="FSC#COOELAK@1.1001:FileReference" pid="122" fmtid="{D5CDD505-2E9C-101B-9397-08002B2CF9AE}">
    <vt:lpwstr>2024-008.172</vt:lpwstr>
  </property>
  <property name="FSC#COOELAK@1.1001:FileRefYear" pid="123" fmtid="{D5CDD505-2E9C-101B-9397-08002B2CF9AE}">
    <vt:lpwstr>2024</vt:lpwstr>
  </property>
  <property name="FSC#COOELAK@1.1001:FileRefOrdinal" pid="124" fmtid="{D5CDD505-2E9C-101B-9397-08002B2CF9AE}">
    <vt:lpwstr>8172</vt:lpwstr>
  </property>
  <property name="FSC#COOELAK@1.1001:FileRefOU" pid="125" fmtid="{D5CDD505-2E9C-101B-9397-08002B2CF9AE}">
    <vt:lpwstr>A4-HNS</vt:lpwstr>
  </property>
  <property name="FSC#COOELAK@1.1001:Organization" pid="126" fmtid="{D5CDD505-2E9C-101B-9397-08002B2CF9AE}">
    <vt:lpwstr/>
  </property>
  <property name="FSC#COOELAK@1.1001:Owner" pid="127" fmtid="{D5CDD505-2E9C-101B-9397-08002B2CF9AE}">
    <vt:lpwstr>Philip Drews</vt:lpwstr>
  </property>
  <property name="FSC#COOELAK@1.1001:OwnerExtension" pid="128" fmtid="{D5CDD505-2E9C-101B-9397-08002B2CF9AE}">
    <vt:lpwstr>2434</vt:lpwstr>
  </property>
  <property name="FSC#COOELAK@1.1001:OwnerFaxExtension" pid="129" fmtid="{D5CDD505-2E9C-101B-9397-08002B2CF9AE}">
    <vt:lpwstr/>
  </property>
  <property name="FSC#COOELAK@1.1001:DispatchedBy" pid="130" fmtid="{D5CDD505-2E9C-101B-9397-08002B2CF9AE}">
    <vt:lpwstr/>
  </property>
  <property name="FSC#COOELAK@1.1001:DispatchedAt" pid="131" fmtid="{D5CDD505-2E9C-101B-9397-08002B2CF9AE}">
    <vt:lpwstr/>
  </property>
  <property name="FSC#COOELAK@1.1001:ApprovedBy" pid="132" fmtid="{D5CDD505-2E9C-101B-9397-08002B2CF9AE}">
    <vt:lpwstr/>
  </property>
  <property name="FSC#COOELAK@1.1001:ApprovedAt" pid="133" fmtid="{D5CDD505-2E9C-101B-9397-08002B2CF9AE}">
    <vt:lpwstr/>
  </property>
  <property name="FSC#COOELAK@1.1001:Department" pid="134" fmtid="{D5CDD505-2E9C-101B-9397-08002B2CF9AE}">
    <vt:lpwstr>A4-HNS-RAA (Referat Agrarwesen und Agrarpolitik)</vt:lpwstr>
  </property>
  <property name="FSC#COOELAK@1.1001:CreatedAt" pid="135" fmtid="{D5CDD505-2E9C-101B-9397-08002B2CF9AE}">
    <vt:lpwstr>12.06.2024</vt:lpwstr>
  </property>
  <property name="FSC#COOELAK@1.1001:OU" pid="136" fmtid="{D5CDD505-2E9C-101B-9397-08002B2CF9AE}">
    <vt:lpwstr>A4-HNS-RAA (Referat Agrarwesen und Agrarpolitik)</vt:lpwstr>
  </property>
  <property name="FSC#COOELAK@1.1001:Priority" pid="137" fmtid="{D5CDD505-2E9C-101B-9397-08002B2CF9AE}">
    <vt:lpwstr> ()</vt:lpwstr>
  </property>
  <property name="FSC#COOELAK@1.1001:ObjBarCode" pid="138" fmtid="{D5CDD505-2E9C-101B-9397-08002B2CF9AE}">
    <vt:lpwstr>*COO.2332.100.6.2778026*</vt:lpwstr>
  </property>
  <property name="FSC#COOELAK@1.1001:RefBarCode" pid="139" fmtid="{D5CDD505-2E9C-101B-9397-08002B2CF9AE}">
    <vt:lpwstr>*COO.2332.100.5.2758747*</vt:lpwstr>
  </property>
  <property name="FSC#COOELAK@1.1001:FileRefBarCode" pid="140" fmtid="{D5CDD505-2E9C-101B-9397-08002B2CF9AE}">
    <vt:lpwstr>*2024-008.172*</vt:lpwstr>
  </property>
  <property name="FSC#COOELAK@1.1001:ExternalRef" pid="141" fmtid="{D5CDD505-2E9C-101B-9397-08002B2CF9AE}">
    <vt:lpwstr/>
  </property>
  <property name="FSC#COOELAK@1.1001:IncomingNumber" pid="142" fmtid="{D5CDD505-2E9C-101B-9397-08002B2CF9AE}">
    <vt:lpwstr/>
  </property>
  <property name="FSC#COOELAK@1.1001:IncomingSubject" pid="143" fmtid="{D5CDD505-2E9C-101B-9397-08002B2CF9AE}">
    <vt:lpwstr/>
  </property>
  <property name="FSC#COOELAK@1.1001:ProcessResponsible" pid="144" fmtid="{D5CDD505-2E9C-101B-9397-08002B2CF9AE}">
    <vt:lpwstr/>
  </property>
  <property name="FSC#COOELAK@1.1001:ProcessResponsiblePhone" pid="145" fmtid="{D5CDD505-2E9C-101B-9397-08002B2CF9AE}">
    <vt:lpwstr/>
  </property>
  <property name="FSC#COOELAK@1.1001:ProcessResponsibleMail" pid="146" fmtid="{D5CDD505-2E9C-101B-9397-08002B2CF9AE}">
    <vt:lpwstr/>
  </property>
  <property name="FSC#COOELAK@1.1001:ProcessResponsibleFax" pid="147" fmtid="{D5CDD505-2E9C-101B-9397-08002B2CF9AE}">
    <vt:lpwstr/>
  </property>
  <property name="FSC#COOELAK@1.1001:ApproverFirstName" pid="148" fmtid="{D5CDD505-2E9C-101B-9397-08002B2CF9AE}">
    <vt:lpwstr/>
  </property>
  <property name="FSC#COOELAK@1.1001:ApproverSurName" pid="149" fmtid="{D5CDD505-2E9C-101B-9397-08002B2CF9AE}">
    <vt:lpwstr/>
  </property>
  <property name="FSC#COOELAK@1.1001:ApproverTitle" pid="150" fmtid="{D5CDD505-2E9C-101B-9397-08002B2CF9AE}">
    <vt:lpwstr/>
  </property>
  <property name="FSC#COOELAK@1.1001:ExternalDate" pid="151" fmtid="{D5CDD505-2E9C-101B-9397-08002B2CF9AE}">
    <vt:lpwstr/>
  </property>
  <property name="FSC#COOELAK@1.1001:SettlementApprovedAt" pid="152" fmtid="{D5CDD505-2E9C-101B-9397-08002B2CF9AE}">
    <vt:lpwstr/>
  </property>
  <property name="FSC#COOELAK@1.1001:BaseNumber" pid="153" fmtid="{D5CDD505-2E9C-101B-9397-08002B2CF9AE}">
    <vt:lpwstr>LF-FL</vt:lpwstr>
  </property>
  <property name="FSC#COOELAK@1.1001:CurrentUserRolePos" pid="154" fmtid="{D5CDD505-2E9C-101B-9397-08002B2CF9AE}">
    <vt:lpwstr>Bearbeiter/in</vt:lpwstr>
  </property>
  <property name="FSC#COOELAK@1.1001:CurrentUserEmail" pid="155" fmtid="{D5CDD505-2E9C-101B-9397-08002B2CF9AE}">
    <vt:lpwstr>Philip.Drews@bgld.gv.at</vt:lpwstr>
  </property>
  <property name="FSC#ELAKGOV@1.1001:PersonalSubjGender" pid="156" fmtid="{D5CDD505-2E9C-101B-9397-08002B2CF9AE}">
    <vt:lpwstr/>
  </property>
  <property name="FSC#ELAKGOV@1.1001:PersonalSubjFirstName" pid="157" fmtid="{D5CDD505-2E9C-101B-9397-08002B2CF9AE}">
    <vt:lpwstr/>
  </property>
  <property name="FSC#ELAKGOV@1.1001:PersonalSubjSurName" pid="158" fmtid="{D5CDD505-2E9C-101B-9397-08002B2CF9AE}">
    <vt:lpwstr/>
  </property>
  <property name="FSC#ELAKGOV@1.1001:PersonalSubjSalutation" pid="159" fmtid="{D5CDD505-2E9C-101B-9397-08002B2CF9AE}">
    <vt:lpwstr/>
  </property>
  <property name="FSC#ELAKGOV@1.1001:PersonalSubjAddress" pid="160" fmtid="{D5CDD505-2E9C-101B-9397-08002B2CF9AE}">
    <vt:lpwstr/>
  </property>
  <property name="FSC#ATSTATECFG@1.1001:Office" pid="161" fmtid="{D5CDD505-2E9C-101B-9397-08002B2CF9AE}">
    <vt:lpwstr>Referat Agrarwesen und Agrarpolitik</vt:lpwstr>
  </property>
  <property name="FSC#ATSTATECFG@1.1001:Agent" pid="162" fmtid="{D5CDD505-2E9C-101B-9397-08002B2CF9AE}">
    <vt:lpwstr>Philip Drews</vt:lpwstr>
  </property>
  <property name="FSC#ATSTATECFG@1.1001:AgentPhone" pid="163" fmtid="{D5CDD505-2E9C-101B-9397-08002B2CF9AE}">
    <vt:lpwstr>+43 57 600-2434</vt:lpwstr>
  </property>
  <property name="FSC#ATSTATECFG@1.1001:DepartmentFax" pid="164" fmtid="{D5CDD505-2E9C-101B-9397-08002B2CF9AE}">
    <vt:lpwstr>+43 57 600-2920</vt:lpwstr>
  </property>
  <property name="FSC#ATSTATECFG@1.1001:DepartmentEmail" pid="165" fmtid="{D5CDD505-2E9C-101B-9397-08002B2CF9AE}">
    <vt:lpwstr>post.a4-agrarwesen@bgld.gv.at</vt:lpwstr>
  </property>
  <property name="FSC#ATSTATECFG@1.1001:SubfileDate" pid="166" fmtid="{D5CDD505-2E9C-101B-9397-08002B2CF9AE}">
    <vt:lpwstr>11.06.2024</vt:lpwstr>
  </property>
  <property name="FSC#ATSTATECFG@1.1001:SubfileSubject" pid="167" fmtid="{D5CDD505-2E9C-101B-9397-08002B2CF9AE}">
    <vt:lpwstr>Sonderrichtlinie zur Förderung der Behebung von Katastrophenschäden nach Hochwasser </vt:lpwstr>
  </property>
  <property name="FSC#ATSTATECFG@1.1001:DepartmentZipCode" pid="168" fmtid="{D5CDD505-2E9C-101B-9397-08002B2CF9AE}">
    <vt:lpwstr>7000</vt:lpwstr>
  </property>
  <property name="FSC#ATSTATECFG@1.1001:DepartmentCountry" pid="169" fmtid="{D5CDD505-2E9C-101B-9397-08002B2CF9AE}">
    <vt:lpwstr/>
  </property>
  <property name="FSC#ATSTATECFG@1.1001:DepartmentCity" pid="170" fmtid="{D5CDD505-2E9C-101B-9397-08002B2CF9AE}">
    <vt:lpwstr>Eisenstadt</vt:lpwstr>
  </property>
  <property name="FSC#ATSTATECFG@1.1001:DepartmentStreet" pid="171" fmtid="{D5CDD505-2E9C-101B-9397-08002B2CF9AE}">
    <vt:lpwstr>Europaplatz</vt:lpwstr>
  </property>
  <property name="FSC#CCAPRECONFIGG@15.1001:DepartmentON" pid="172" fmtid="{D5CDD505-2E9C-101B-9397-08002B2CF9AE}">
    <vt:lpwstr>1</vt:lpwstr>
  </property>
  <property name="FSC#CCAPRECONFIGG@15.1001:DepartmentWebsite" pid="173" fmtid="{D5CDD505-2E9C-101B-9397-08002B2CF9AE}">
    <vt:lpwstr>www.burgenland.at</vt:lpwstr>
  </property>
  <property name="FSC#ATSTATECFG@1.1001:DepartmentDVR" pid="174" fmtid="{D5CDD505-2E9C-101B-9397-08002B2CF9AE}">
    <vt:lpwstr/>
  </property>
  <property name="FSC#ATSTATECFG@1.1001:DepartmentUID" pid="175" fmtid="{D5CDD505-2E9C-101B-9397-08002B2CF9AE}">
    <vt:lpwstr/>
  </property>
  <property name="FSC#ATSTATECFG@1.1001:SubfileReference" pid="176" fmtid="{D5CDD505-2E9C-101B-9397-08002B2CF9AE}">
    <vt:lpwstr>2024-008.172-6/2</vt:lpwstr>
  </property>
  <property name="FSC#ATSTATECFG@1.1001:Clause" pid="177" fmtid="{D5CDD505-2E9C-101B-9397-08002B2CF9AE}">
    <vt:lpwstr/>
  </property>
  <property name="FSC#ATSTATECFG@1.1001:ApprovedSignature" pid="178" fmtid="{D5CDD505-2E9C-101B-9397-08002B2CF9AE}">
    <vt:lpwstr/>
  </property>
  <property name="FSC#ATSTATECFG@1.1001:BankAccount" pid="179" fmtid="{D5CDD505-2E9C-101B-9397-08002B2CF9AE}">
    <vt:lpwstr/>
  </property>
  <property name="FSC#ATSTATECFG@1.1001:BankAccountOwner" pid="180" fmtid="{D5CDD505-2E9C-101B-9397-08002B2CF9AE}">
    <vt:lpwstr/>
  </property>
  <property name="FSC#ATSTATECFG@1.1001:BankInstitute" pid="181" fmtid="{D5CDD505-2E9C-101B-9397-08002B2CF9AE}">
    <vt:lpwstr/>
  </property>
  <property name="FSC#ATSTATECFG@1.1001:BankAccountID" pid="182" fmtid="{D5CDD505-2E9C-101B-9397-08002B2CF9AE}">
    <vt:lpwstr/>
  </property>
  <property name="FSC#ATSTATECFG@1.1001:BankAccountIBAN" pid="183" fmtid="{D5CDD505-2E9C-101B-9397-08002B2CF9AE}">
    <vt:lpwstr/>
  </property>
  <property name="FSC#ATSTATECFG@1.1001:BankAccountBIC" pid="184" fmtid="{D5CDD505-2E9C-101B-9397-08002B2CF9AE}">
    <vt:lpwstr/>
  </property>
  <property name="FSC#ATSTATECFG@1.1001:BankName" pid="185" fmtid="{D5CDD505-2E9C-101B-9397-08002B2CF9AE}">
    <vt:lpwstr/>
  </property>
  <property name="FSC#COOELAK@1.1001:ObjectAddressees" pid="186" fmtid="{D5CDD505-2E9C-101B-9397-08002B2CF9AE}">
    <vt:lpwstr/>
  </property>
  <property name="FSC#COOELAK@1.1001:replyreference" pid="187" fmtid="{D5CDD505-2E9C-101B-9397-08002B2CF9AE}">
    <vt:lpwstr/>
  </property>
  <property name="FSC#COOELAK@1.1001:OfficeHours" pid="188" fmtid="{D5CDD505-2E9C-101B-9397-08002B2CF9AE}">
    <vt:lpwstr/>
  </property>
  <property name="FSC#COOELAK@1.1001:FileRefOULong" pid="189" fmtid="{D5CDD505-2E9C-101B-9397-08002B2CF9AE}">
    <vt:lpwstr>Hauptreferat Naturschutz, Landschaftspflege und Agrarwesen</vt:lpwstr>
  </property>
  <property name="FSC#ATPRECONFIG@1.1001:ChargePreview" pid="190" fmtid="{D5CDD505-2E9C-101B-9397-08002B2CF9AE}">
    <vt:lpwstr/>
  </property>
  <property name="FSC#ATSTATECFG@1.1001:ExternalFile" pid="191" fmtid="{D5CDD505-2E9C-101B-9397-08002B2CF9AE}">
    <vt:lpwstr>Bezug: </vt:lpwstr>
  </property>
  <property name="FSC#ATPRECONFIG@1.1001:DispatchClause" pid="192" fmtid="{D5CDD505-2E9C-101B-9397-08002B2CF9AE}">
    <vt:lpwstr/>
  </property>
  <property name="FSC#ATPRECONFIG@1.1001:DepartmentZipCode_DepartmentCity" pid="193" fmtid="{D5CDD505-2E9C-101B-9397-08002B2CF9AE}">
    <vt:lpwstr>7000 Eisenstadt</vt:lpwstr>
  </property>
  <property name="FSC#ATPRECONFIG@1.1001:DepartmentStreet_DepartmentZipCode_DepartmentCity" pid="194" fmtid="{D5CDD505-2E9C-101B-9397-08002B2CF9AE}">
    <vt:lpwstr>Europaplatz 7000 Eisenstadt</vt:lpwstr>
  </property>
  <property name="FSC#COOSYSTEM@1.1:Container" pid="195" fmtid="{D5CDD505-2E9C-101B-9397-08002B2CF9AE}">
    <vt:lpwstr>COO.2332.100.6.2778026</vt:lpwstr>
  </property>
  <property name="FSC#FSCFOLIO@1.1001:docpropproject" pid="196" fmtid="{D5CDD505-2E9C-101B-9397-08002B2CF9AE}">
    <vt:lpwstr/>
  </property>
</Properties>
</file>