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8D" w:rsidRDefault="00553F8D" w:rsidP="00953803">
      <w:pPr>
        <w:autoSpaceDE w:val="0"/>
        <w:autoSpaceDN w:val="0"/>
        <w:adjustRightInd w:val="0"/>
        <w:spacing w:line="240" w:lineRule="auto"/>
        <w:jc w:val="center"/>
        <w:rPr>
          <w:rFonts w:ascii="Cambria,Bold" w:hAnsi="Cambria,Bold" w:cs="Cambria,Bold"/>
          <w:b/>
          <w:bCs/>
          <w:color w:val="1F6BAF"/>
          <w:sz w:val="36"/>
          <w:szCs w:val="36"/>
          <w:lang w:val="de-AT" w:eastAsia="de-AT"/>
        </w:rPr>
      </w:pPr>
      <w:r>
        <w:rPr>
          <w:rFonts w:ascii="Cambria,Bold" w:hAnsi="Cambria,Bold" w:cs="Cambria,Bold"/>
          <w:b/>
          <w:bCs/>
          <w:color w:val="1F6BAF"/>
          <w:sz w:val="36"/>
          <w:szCs w:val="36"/>
          <w:lang w:val="de-AT" w:eastAsia="de-AT"/>
        </w:rPr>
        <w:t>AUFRUF</w:t>
      </w:r>
    </w:p>
    <w:p w:rsidR="00553F8D" w:rsidRDefault="00553F8D" w:rsidP="00953803">
      <w:pPr>
        <w:autoSpaceDE w:val="0"/>
        <w:autoSpaceDN w:val="0"/>
        <w:adjustRightInd w:val="0"/>
        <w:spacing w:line="240" w:lineRule="auto"/>
        <w:jc w:val="center"/>
        <w:rPr>
          <w:rFonts w:ascii="Cambria,Bold" w:hAnsi="Cambria,Bold" w:cs="Cambria,Bold"/>
          <w:b/>
          <w:bCs/>
          <w:color w:val="1F6BAF"/>
          <w:sz w:val="36"/>
          <w:szCs w:val="36"/>
          <w:lang w:val="de-AT" w:eastAsia="de-AT"/>
        </w:rPr>
      </w:pPr>
      <w:r>
        <w:rPr>
          <w:rFonts w:ascii="Cambria,Bold" w:hAnsi="Cambria,Bold" w:cs="Cambria,Bold"/>
          <w:b/>
          <w:bCs/>
          <w:color w:val="1F6BAF"/>
          <w:sz w:val="36"/>
          <w:szCs w:val="36"/>
          <w:lang w:val="de-AT" w:eastAsia="de-AT"/>
        </w:rPr>
        <w:t>zur Einreichung von Förderungsanträgen für</w:t>
      </w:r>
    </w:p>
    <w:p w:rsidR="00553F8D" w:rsidRDefault="00553F8D" w:rsidP="00953803">
      <w:pPr>
        <w:autoSpaceDE w:val="0"/>
        <w:autoSpaceDN w:val="0"/>
        <w:adjustRightInd w:val="0"/>
        <w:spacing w:line="240" w:lineRule="auto"/>
        <w:jc w:val="center"/>
        <w:rPr>
          <w:rFonts w:ascii="Cambria,Bold" w:hAnsi="Cambria,Bold" w:cs="Cambria,Bold"/>
          <w:b/>
          <w:bCs/>
          <w:color w:val="1F6BAF"/>
          <w:sz w:val="36"/>
          <w:szCs w:val="36"/>
          <w:lang w:val="de-AT" w:eastAsia="de-AT"/>
        </w:rPr>
      </w:pPr>
      <w:r>
        <w:rPr>
          <w:rFonts w:ascii="Cambria,Bold" w:hAnsi="Cambria,Bold" w:cs="Cambria,Bold"/>
          <w:b/>
          <w:bCs/>
          <w:color w:val="1F6BAF"/>
          <w:sz w:val="36"/>
          <w:szCs w:val="36"/>
          <w:lang w:val="de-AT" w:eastAsia="de-AT"/>
        </w:rPr>
        <w:t>die Vorhabensart 16.3.1 a)</w:t>
      </w:r>
    </w:p>
    <w:p w:rsidR="00553F8D" w:rsidRDefault="00553F8D" w:rsidP="00953803">
      <w:pPr>
        <w:autoSpaceDE w:val="0"/>
        <w:autoSpaceDN w:val="0"/>
        <w:adjustRightInd w:val="0"/>
        <w:spacing w:line="240" w:lineRule="auto"/>
        <w:jc w:val="center"/>
        <w:rPr>
          <w:rFonts w:ascii="Cambria,Bold" w:hAnsi="Cambria,Bold" w:cs="Cambria,Bold"/>
          <w:b/>
          <w:bCs/>
          <w:color w:val="1F6BAF"/>
          <w:sz w:val="36"/>
          <w:szCs w:val="36"/>
          <w:lang w:val="de-AT" w:eastAsia="de-AT"/>
        </w:rPr>
      </w:pPr>
      <w:r>
        <w:rPr>
          <w:rFonts w:ascii="Cambria,Bold" w:hAnsi="Cambria,Bold" w:cs="Cambria,Bold"/>
          <w:b/>
          <w:bCs/>
          <w:color w:val="1F6BAF"/>
          <w:sz w:val="36"/>
          <w:szCs w:val="36"/>
          <w:lang w:val="de-AT" w:eastAsia="de-AT"/>
        </w:rPr>
        <w:t>der Sonderrichtlinie „LE-Projektförderungen“</w:t>
      </w:r>
    </w:p>
    <w:p w:rsidR="00953803" w:rsidRDefault="00953803" w:rsidP="00953803">
      <w:pPr>
        <w:autoSpaceDE w:val="0"/>
        <w:autoSpaceDN w:val="0"/>
        <w:adjustRightInd w:val="0"/>
        <w:spacing w:line="240" w:lineRule="auto"/>
        <w:jc w:val="center"/>
        <w:rPr>
          <w:rFonts w:ascii="Cambria,Bold" w:hAnsi="Cambria,Bold" w:cs="Cambria,Bold"/>
          <w:b/>
          <w:bCs/>
          <w:color w:val="1F6BAF"/>
          <w:sz w:val="23"/>
          <w:szCs w:val="23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Cambria,Bold" w:hAnsi="Cambria,Bold" w:cs="Cambria,Bold"/>
          <w:b/>
          <w:bCs/>
          <w:color w:val="1F6BAF"/>
          <w:sz w:val="28"/>
          <w:szCs w:val="28"/>
          <w:lang w:val="de-AT" w:eastAsia="de-AT"/>
        </w:rPr>
      </w:pPr>
      <w:r>
        <w:rPr>
          <w:rFonts w:ascii="Cambria,Bold" w:hAnsi="Cambria,Bold" w:cs="Cambria,Bold"/>
          <w:b/>
          <w:bCs/>
          <w:color w:val="1F6BAF"/>
          <w:sz w:val="28"/>
          <w:szCs w:val="28"/>
          <w:lang w:val="de-AT" w:eastAsia="de-AT"/>
        </w:rPr>
        <w:t>Allgemeines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Die Sonderrichtlinie „LE-Projektförderungen“ sieht für die Vorhabensart </w:t>
      </w:r>
      <w:r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>„Zusammenarbeit von</w:t>
      </w:r>
      <w:r w:rsidR="00953803"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>kleinen Wirtschaftsteilnehmern – Arbeitsabläufe, gemeinsame Nutzung von Anlagen und Ressourcen</w:t>
      </w:r>
      <w:r w:rsidR="00953803"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 xml:space="preserve">und Tourismusdienstleistungen“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anstelle einer laufenden eine zeitlich befristete Antragstellung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erst nach Veröffentlichung eines entsprechenden Aufrufs vor.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Mit diesem Aufruf gibt </w:t>
      </w:r>
      <w:r w:rsidR="00A6655D">
        <w:rPr>
          <w:rFonts w:ascii="Times New Roman" w:hAnsi="Times New Roman"/>
          <w:color w:val="000000"/>
          <w:sz w:val="22"/>
          <w:szCs w:val="22"/>
          <w:lang w:val="de-AT" w:eastAsia="de-AT"/>
        </w:rPr>
        <w:t>Landesrat Andreas Liegenfeld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bekannt, dass Förderungsanträge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in der Vorhabensart 16.3.1. a) zum Bereich</w:t>
      </w:r>
    </w:p>
    <w:p w:rsidR="00953803" w:rsidRDefault="00953803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- </w:t>
      </w:r>
      <w:r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>Ländlicher Tourismus</w:t>
      </w:r>
    </w:p>
    <w:p w:rsidR="00953803" w:rsidRDefault="00953803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eingereicht werden können.</w:t>
      </w:r>
    </w:p>
    <w:p w:rsidR="00953803" w:rsidRDefault="00953803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Cambria,Bold" w:hAnsi="Cambria,Bold" w:cs="Cambria,Bold"/>
          <w:b/>
          <w:bCs/>
          <w:color w:val="1F6BAF"/>
          <w:sz w:val="28"/>
          <w:szCs w:val="28"/>
          <w:lang w:val="de-AT" w:eastAsia="de-AT"/>
        </w:rPr>
      </w:pPr>
      <w:r>
        <w:rPr>
          <w:rFonts w:ascii="Cambria,Bold" w:hAnsi="Cambria,Bold" w:cs="Cambria,Bold"/>
          <w:b/>
          <w:bCs/>
          <w:color w:val="1F6BAF"/>
          <w:sz w:val="28"/>
          <w:szCs w:val="28"/>
          <w:lang w:val="de-AT" w:eastAsia="de-AT"/>
        </w:rPr>
        <w:t>Einreichstelle, Frist und weitere Vorgangsweise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Förderungsanträge </w:t>
      </w:r>
      <w:r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>müss</w:t>
      </w:r>
      <w:r w:rsidR="002134E7"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>en bis spätestens 17</w:t>
      </w:r>
      <w:r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 xml:space="preserve">.07.2015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bei der Bewilligenden Stelle</w:t>
      </w:r>
    </w:p>
    <w:p w:rsidR="003941C0" w:rsidRDefault="003941C0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 xml:space="preserve">Amt der </w:t>
      </w:r>
      <w:r w:rsidR="002134E7"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>Burgenländischen</w:t>
      </w:r>
      <w:r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 xml:space="preserve"> Landesregierung</w:t>
      </w:r>
    </w:p>
    <w:p w:rsidR="00553F8D" w:rsidRDefault="002134E7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>Abteilung 4a, Agrar- und Veterinärwesen</w:t>
      </w:r>
    </w:p>
    <w:p w:rsidR="00553F8D" w:rsidRDefault="002134E7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>Europaplatz 1</w:t>
      </w:r>
    </w:p>
    <w:p w:rsidR="002134E7" w:rsidRDefault="002134E7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>7000 Eisenstadt</w:t>
      </w:r>
    </w:p>
    <w:p w:rsidR="003941C0" w:rsidRDefault="003941C0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 xml:space="preserve">vollständig eingelangt sein.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Es ist das beigelegte Antragsformular zu verwenden.</w:t>
      </w:r>
      <w:r w:rsidR="007C3B00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Die Förderungsanträge sind postalisch sowie zusätzlich elektronisch per E-Mail zu übermitteln. Die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Anträge werden in der Reihenfolge ihres Einlangens bearbeitet.</w:t>
      </w:r>
      <w:r w:rsidR="007C3B00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Nach Feststellung der Vollständigkeit des Förderungsantrags und Überprüfung der Zugangsvoraussetzungen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erfolgt ein Auswahlverfahren nach den Kriterien, die für diese Vorhabensart festgelegt sind.</w:t>
      </w:r>
    </w:p>
    <w:p w:rsidR="007C3B00" w:rsidRDefault="007C3B00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FF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Im Auswahlverfahren werden nur </w:t>
      </w:r>
      <w:r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 xml:space="preserve">vollständige Förderungsanträge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berücksichtigt. Unvollständige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Förderungsanträge sind vom aktuellen Auswahlverfahren ausgeschlossen. Eine neuerliche Beantragung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des Vorhabens im Rahmen nachfolgender Auswahlverfahren ist zulässig.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Die Auswahlkriterien, die für das Auswahlverfahren herangezogen werden, sind im Dokument</w:t>
      </w:r>
      <w:r w:rsidR="007C3B00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„</w:t>
      </w:r>
      <w:r>
        <w:rPr>
          <w:rFonts w:ascii="Times New Roman" w:hAnsi="Times New Roman"/>
          <w:color w:val="0000FF"/>
          <w:sz w:val="22"/>
          <w:szCs w:val="22"/>
          <w:lang w:val="de-AT" w:eastAsia="de-AT"/>
        </w:rPr>
        <w:t>Auswahlverfahren und Auswahlkriterien für Projektmaßnahmen im Rahmen des österreichischen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FF"/>
          <w:sz w:val="22"/>
          <w:szCs w:val="22"/>
          <w:lang w:val="de-AT" w:eastAsia="de-AT"/>
        </w:rPr>
        <w:t>Programms für ländliche Entwicklung 2014-2020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“ beschrieben.</w:t>
      </w:r>
    </w:p>
    <w:p w:rsidR="007C3B00" w:rsidRDefault="007C3B00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0"/>
          <w:lang w:val="de-AT" w:eastAsia="de-AT"/>
        </w:rPr>
      </w:pPr>
      <w:r>
        <w:rPr>
          <w:rFonts w:ascii="Times New Roman" w:hAnsi="Times New Roman"/>
          <w:color w:val="000000"/>
          <w:sz w:val="20"/>
          <w:lang w:val="de-AT" w:eastAsia="de-AT"/>
        </w:rPr>
        <w:t>Sonderrichtlinie des Bundesministers für Land- und Forstwirtschaft, Umwelt und Wasserwirtschaft zur Umsetzung</w:t>
      </w:r>
      <w:r w:rsidR="00953803">
        <w:rPr>
          <w:rFonts w:ascii="Times New Roman" w:hAnsi="Times New Roman"/>
          <w:color w:val="000000"/>
          <w:sz w:val="20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0"/>
          <w:lang w:val="de-AT" w:eastAsia="de-AT"/>
        </w:rPr>
        <w:t>von Projektmaßnahmen im Rahmen des Österreichischen Programms für ländliche Entwicklung 2014 –</w:t>
      </w:r>
      <w:r w:rsidR="00953803">
        <w:rPr>
          <w:rFonts w:ascii="Times New Roman" w:hAnsi="Times New Roman"/>
          <w:color w:val="000000"/>
          <w:sz w:val="20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0"/>
          <w:lang w:val="de-AT" w:eastAsia="de-AT"/>
        </w:rPr>
        <w:t>2020 – „LE-Projektförderungen“, GZ.BMLFUW-LE.1.1.1/0171-II/2/2014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Ein weiterer Aufruf zur Einreichung von Förderungsanträgen für den oben angeführten Bereich ist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voraussichtlich im 2. Halbjahr 2018 geplant.</w:t>
      </w:r>
    </w:p>
    <w:p w:rsidR="00953803" w:rsidRDefault="00953803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Cambria,Bold" w:hAnsi="Cambria,Bold" w:cs="Cambria,Bold"/>
          <w:b/>
          <w:bCs/>
          <w:color w:val="1F6BAF"/>
          <w:sz w:val="28"/>
          <w:szCs w:val="28"/>
          <w:lang w:val="de-AT" w:eastAsia="de-AT"/>
        </w:rPr>
      </w:pPr>
      <w:r>
        <w:rPr>
          <w:rFonts w:ascii="Cambria,Bold" w:hAnsi="Cambria,Bold" w:cs="Cambria,Bold"/>
          <w:b/>
          <w:bCs/>
          <w:color w:val="1F6BAF"/>
          <w:sz w:val="28"/>
          <w:szCs w:val="28"/>
          <w:lang w:val="de-AT" w:eastAsia="de-AT"/>
        </w:rPr>
        <w:t>Bedingungen für die Teilnahme an der Förderung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Für den vorliegenden Aufruf gelten die Bedingungen gemäß Punkt 35 der </w:t>
      </w:r>
      <w:r>
        <w:rPr>
          <w:rFonts w:ascii="Times New Roman" w:hAnsi="Times New Roman"/>
          <w:color w:val="0000FF"/>
          <w:sz w:val="22"/>
          <w:szCs w:val="22"/>
          <w:lang w:val="de-AT" w:eastAsia="de-AT"/>
        </w:rPr>
        <w:t>Sonderrichtlinie „LE</w:t>
      </w:r>
      <w:r w:rsidR="00953803">
        <w:rPr>
          <w:rFonts w:ascii="Times New Roman" w:hAnsi="Times New Roman"/>
          <w:color w:val="0000FF"/>
          <w:sz w:val="22"/>
          <w:szCs w:val="22"/>
          <w:lang w:val="de-AT" w:eastAsia="de-AT"/>
        </w:rPr>
        <w:t>-</w:t>
      </w:r>
      <w:r>
        <w:rPr>
          <w:rFonts w:ascii="Times New Roman" w:hAnsi="Times New Roman"/>
          <w:color w:val="0000FF"/>
          <w:sz w:val="22"/>
          <w:szCs w:val="22"/>
          <w:lang w:val="de-AT" w:eastAsia="de-AT"/>
        </w:rPr>
        <w:t>Projektförderungen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,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die hier auszugsweise wiedergegeben werden.</w:t>
      </w:r>
    </w:p>
    <w:p w:rsidR="00953803" w:rsidRDefault="00953803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Förderungswerber: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An den Förderungen können nur Kooperationen im Sinne des Art. 35 Abs. 1 der Verordnung (EU) Nr.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1305/2013 teilnehmen, die den Kriterien gem. Pkt. 35.3 und 35.4 der Sonderrichtlinie des BMLFUW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entsprechen.</w:t>
      </w:r>
    </w:p>
    <w:p w:rsidR="00953803" w:rsidRDefault="00953803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Förderungsgegenstand: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Vorhabensart 16.3.1. gem. Punkt 35.2 der Sonderrichtlinie des BMLFUW sieht die Förderung der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einer </w:t>
      </w:r>
      <w:r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 xml:space="preserve">neuen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Zusammenarbeit von kleinen Wirtschaftsteilnehmern vor bzw. die Zusammenarbeit von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kleinen Wirtschaftsteilnehmern im Hinblick auf ein </w:t>
      </w:r>
      <w:r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>neues, gemeinsames Projekt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.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Im Rahmen vorliegenden Aufrufs können ausschließlich Zusammenarbeiten und deren Projekte beantragt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werden, die </w:t>
      </w:r>
      <w:r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 xml:space="preserve">thematisch folgendem Bereich zuordenbar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sind:</w:t>
      </w:r>
    </w:p>
    <w:p w:rsidR="00953803" w:rsidRDefault="00953803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- </w:t>
      </w:r>
      <w:r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>Ländlicher Tourismus: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Dieser Bereich entspricht der Vorhabensart 16.3.1, Fördergegenstände „Zusammenarbeit von Akteuren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im Bereich des ländlichen Tourismus“ sowie „Entwicklung und Vermarktung von Tourismusdienstleistungen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mit Bezug zu ländlichen Tourismus“.</w:t>
      </w:r>
      <w:r w:rsidR="007C3B00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Im Rahmen dieses Bereichs wird die Zusammenarbeit von kleinen Wirtschaftsteilnehmern gefördert,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die sich die strategische Entwicklung und gemeinsamen Umsetzung von individuellen Angeboten und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Dienstleistungen im Bereich ländlicher Tourismus mit dem Fokus Landwirtschaft zum Ziel setzt. Im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Zentrum der Zusammenarbeit steht der bäuerliche Kooperationspartner als Anbieter von ländlichen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Tourismusdienstleistungen. Die Zusammenarbeit von kleinen Wirtschaftsteilnehmern im Bereich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Ländlicher Tourismus stellt somit ein Bindeglied zwischen Landwirtschaft und Tourismus dar und soll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einen Beitrag zur Existenzsicherung von bäuerlichen Betrieben leisten.</w:t>
      </w:r>
    </w:p>
    <w:p w:rsidR="00953803" w:rsidRDefault="00953803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Als kleine Wirtschaftsteilnehmer im Sinne der Vorhabensart 16.3.1. a) und gemäß Empfehlung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2003/361/EG sind Unternehmen definiert, die weniger als 10 Personen (Jahresarbeitseinheiten JAE)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beschäftigen und deren Jahresumsatz bzw. Jahresbilanz 2 Mio. Euro nicht überschreitet. Bei der Personenanzahl</w:t>
      </w:r>
      <w:r w:rsidR="007C3B00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werden Voll- und Teilzeitbeschäftigte sowie Saisonarbeitskräfte berücksichtigt, für dieses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ist der jeweils entsprechende Bruchteil einer Einheit zu zählen. Auszubildende oder in der beruflichen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Ausbildung stehende Personen, die einen Lehr- bzw. Berufsausbildungsvertrag haben, sind nicht zu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zählen. Unberücksichtigt bleiben auch Personen im Mutterschafts- bzw. Elternurlaub. Zur Ermittlung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des Jahresumsatzes werden die Verkaufs- und Dienstleistungserlöse, die das Unternehmen während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des betreffenden Jahres unter Berücksichtigung aller Erlösschmälerungen erzielt hat. Die Mehrwertsteuer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(MwSt.) und andere indirekte Steuern sollten nicht in den Umsatz einfließen. Die Jahresbilanzsumme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bezieht sich auf die Hauptvermögenswerte des Unternehmens.</w:t>
      </w:r>
    </w:p>
    <w:p w:rsidR="00953803" w:rsidRDefault="00953803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>Kulinarische Initiativen mit Bezug zu ländlichem Tourismus sind in</w:t>
      </w:r>
      <w:r w:rsidR="002134E7"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 xml:space="preserve"> vorliegendem Aufruf exkludiert.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Der Förderungswerber muss im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Vorhabensdatenblatt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die Neuartigkeit der Projekte und die Abgrenzung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zu eventuellen bereits bestehenden Projekten darlegen, insbesondere hinsichtlich der Abrechnung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des Projekts. Darüber hinaus muss der Förderungswerber angeben, ob ein späterer Stichtag für die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Kostenanerkennung gewählt wird als das Datum des Einlangens des Förderungsantrags. Im Rahmen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von Projekten, die im Rahmen vorliegenden Aufrufs zur Förderung gelangen, müssen spezifische Ergebnisse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erzielt werden. Diese Ziele der Zusammenarbeit müssen im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Vorhabensdatenblatt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eindeutig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beschrieben werden und terminiert, spezifisch und messbar sein.</w:t>
      </w:r>
    </w:p>
    <w:p w:rsidR="00953803" w:rsidRDefault="00953803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Förderungsumfang:</w:t>
      </w:r>
    </w:p>
    <w:p w:rsidR="00553F8D" w:rsidRDefault="00A6655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Landesrat Andreas Liegenfeld</w:t>
      </w:r>
      <w:r w:rsidR="00553F8D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stellt im Rahmen des vorliegenden Aufrufs </w:t>
      </w:r>
      <w:r w:rsidR="00553F8D"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>ca. €</w:t>
      </w:r>
      <w:r w:rsidR="00953803"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 xml:space="preserve"> </w:t>
      </w:r>
      <w:r w:rsidR="007C3B00"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>145</w:t>
      </w:r>
      <w:r w:rsidR="00553F8D"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 xml:space="preserve">.000,- </w:t>
      </w:r>
      <w:r w:rsidR="00553F8D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für den Bereich </w:t>
      </w:r>
      <w:r w:rsidR="00553F8D"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 xml:space="preserve">Ländlicher Tourismus </w:t>
      </w:r>
      <w:r w:rsidR="00553F8D">
        <w:rPr>
          <w:rFonts w:ascii="Times New Roman" w:hAnsi="Times New Roman"/>
          <w:color w:val="000000"/>
          <w:sz w:val="22"/>
          <w:szCs w:val="22"/>
          <w:lang w:val="de-AT" w:eastAsia="de-AT"/>
        </w:rPr>
        <w:t>bereit. Hinsichtlich der förderfähigen und anrechenbaren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 w:rsidR="00553F8D">
        <w:rPr>
          <w:rFonts w:ascii="Times New Roman" w:hAnsi="Times New Roman"/>
          <w:color w:val="000000"/>
          <w:sz w:val="22"/>
          <w:szCs w:val="22"/>
          <w:lang w:val="de-AT" w:eastAsia="de-AT"/>
        </w:rPr>
        <w:t>Kosten gelten die Bestimmungen gem. Sonderrichtlinie des BMLFUW.</w:t>
      </w:r>
    </w:p>
    <w:p w:rsidR="00953803" w:rsidRDefault="00953803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Projektlaufzeit: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Mehrjährige Projekte können nur für einen Zeitraum von maximal dre</w:t>
      </w:r>
      <w:bookmarkStart w:id="0" w:name="_GoBack"/>
      <w:bookmarkEnd w:id="0"/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i Jahren genehmigt werden.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Wenn ein späterer Stichtag für die Kostenanerkennung gewählt wird, gilt dieser Stichtag als Startpunkt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des Zeitraums. Nach Antragsstellung ist eine Verlängerung des Genehmigungszeitraums um maximal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weitere drei Jahre möglich. Dazu wird das Projekt der Zusammenarbeit evaluiert und muss neuerlich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das Auswahlverfahren durchlaufen.</w:t>
      </w:r>
    </w:p>
    <w:p w:rsidR="00953803" w:rsidRDefault="00953803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Cambria,Bold" w:hAnsi="Cambria,Bold" w:cs="Cambria,Bold"/>
          <w:b/>
          <w:bCs/>
          <w:color w:val="1F6BAF"/>
          <w:sz w:val="28"/>
          <w:szCs w:val="28"/>
          <w:lang w:val="de-AT" w:eastAsia="de-AT"/>
        </w:rPr>
      </w:pPr>
      <w:r>
        <w:rPr>
          <w:rFonts w:ascii="Cambria,Bold" w:hAnsi="Cambria,Bold" w:cs="Cambria,Bold"/>
          <w:b/>
          <w:bCs/>
          <w:color w:val="1F6BAF"/>
          <w:sz w:val="28"/>
          <w:szCs w:val="28"/>
          <w:lang w:val="de-AT" w:eastAsia="de-AT"/>
        </w:rPr>
        <w:t>Erforderliche Unterlagen für die Antragstellung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lastRenderedPageBreak/>
        <w:t>Von den Förderungswerbern sind folgende Unterlagen vorzulegen: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</w:t>
      </w: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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F1 Antragsformular inklusive Verpflichtungserklärung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</w:t>
      </w: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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F2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Vorhabensdatenblatt</w:t>
      </w:r>
      <w:proofErr w:type="spellEnd"/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</w:t>
      </w: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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F3 Formblatt für die Liste der Kooperationspartner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</w:t>
      </w: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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F4 Formblatt Kostenkalkulation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</w:t>
      </w: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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F5 De-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minimis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Erklärung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</w:t>
      </w: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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Firmenbuch-/Vereinsregisterauszug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</w:t>
      </w: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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Statuten/Satzungen/Geschäftsordnung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</w:t>
      </w: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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Vollmachten bei Stellvertretungen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</w:t>
      </w: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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Personalunterlagen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</w:t>
      </w: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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Bestätigung Finanzamt (sofern nicht vorsteuerabzugsberechtigt)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</w:t>
      </w: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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Zusatzblatt bei Personenvereinigungen</w:t>
      </w: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</w:t>
      </w:r>
      <w:r>
        <w:rPr>
          <w:rFonts w:ascii="Symbol" w:hAnsi="Symbol" w:cs="Symbol"/>
          <w:color w:val="000000"/>
          <w:sz w:val="22"/>
          <w:szCs w:val="22"/>
          <w:lang w:val="de-AT" w:eastAsia="de-AT"/>
        </w:rPr>
        <w:t>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Bestätigung, dass es sich bei den teilnehmenden Betrieben des Vorhabens nicht um Unternehmen</w:t>
      </w:r>
      <w:r w:rsidR="00953803"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in Schwierigkeiten handelt</w:t>
      </w:r>
    </w:p>
    <w:p w:rsidR="00953803" w:rsidRDefault="00953803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lang w:val="de-AT" w:eastAsia="de-AT"/>
        </w:rPr>
      </w:pPr>
    </w:p>
    <w:p w:rsidR="00553F8D" w:rsidRDefault="00553F8D" w:rsidP="00553F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lang w:val="de-AT" w:eastAsia="de-AT"/>
        </w:rPr>
        <w:t>Kontaktdaten für Fragen zur Antragstellung:</w:t>
      </w:r>
    </w:p>
    <w:p w:rsidR="00553F8D" w:rsidRDefault="00553F8D" w:rsidP="002134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FF"/>
          <w:sz w:val="22"/>
          <w:szCs w:val="22"/>
          <w:lang w:val="de-AT" w:eastAsia="de-AT"/>
        </w:rPr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Für allfällige Rückfragen steht Herr </w:t>
      </w:r>
      <w:r w:rsidR="002134E7">
        <w:rPr>
          <w:rFonts w:ascii="Times New Roman" w:hAnsi="Times New Roman"/>
          <w:color w:val="000000"/>
          <w:sz w:val="22"/>
          <w:szCs w:val="22"/>
          <w:lang w:val="de-AT" w:eastAsia="de-AT"/>
        </w:rPr>
        <w:t>DI Manfred Cadilek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(</w:t>
      </w:r>
      <w:r w:rsidR="002134E7">
        <w:rPr>
          <w:rFonts w:ascii="Times New Roman" w:hAnsi="Times New Roman"/>
          <w:color w:val="000000"/>
          <w:sz w:val="22"/>
          <w:szCs w:val="22"/>
          <w:lang w:val="de-AT" w:eastAsia="de-AT"/>
        </w:rPr>
        <w:t>Abteilung 4a, Agrar- und Veterinärwesen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) telefonisch unter </w:t>
      </w:r>
      <w:r w:rsidR="002134E7">
        <w:rPr>
          <w:rFonts w:ascii="Times New Roman" w:hAnsi="Times New Roman"/>
          <w:color w:val="000000"/>
          <w:sz w:val="22"/>
          <w:szCs w:val="22"/>
          <w:lang w:val="de-AT" w:eastAsia="de-AT"/>
        </w:rPr>
        <w:t>02682/600-2372</w:t>
      </w: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 xml:space="preserve"> oder per Mail </w:t>
      </w:r>
      <w:r w:rsidR="002134E7">
        <w:rPr>
          <w:rFonts w:ascii="Times New Roman" w:hAnsi="Times New Roman"/>
          <w:color w:val="0000FF"/>
          <w:sz w:val="22"/>
          <w:szCs w:val="22"/>
          <w:lang w:val="de-AT" w:eastAsia="de-AT"/>
        </w:rPr>
        <w:t>manfred.cadilek@bgld.gv.at</w:t>
      </w:r>
    </w:p>
    <w:p w:rsidR="0027477E" w:rsidRDefault="00553F8D" w:rsidP="00553F8D">
      <w:pPr>
        <w:jc w:val="both"/>
      </w:pPr>
      <w:r>
        <w:rPr>
          <w:rFonts w:ascii="Times New Roman" w:hAnsi="Times New Roman"/>
          <w:color w:val="000000"/>
          <w:sz w:val="22"/>
          <w:szCs w:val="22"/>
          <w:lang w:val="de-AT" w:eastAsia="de-AT"/>
        </w:rPr>
        <w:t>gerne zur Verfügung.</w:t>
      </w:r>
    </w:p>
    <w:sectPr w:rsidR="0027477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8D"/>
    <w:rsid w:val="002134E7"/>
    <w:rsid w:val="0027477E"/>
    <w:rsid w:val="003941C0"/>
    <w:rsid w:val="00553F8D"/>
    <w:rsid w:val="007333B8"/>
    <w:rsid w:val="007C3B00"/>
    <w:rsid w:val="00953803"/>
    <w:rsid w:val="00A6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outlineLvl w:val="0"/>
    </w:pPr>
    <w:rPr>
      <w:b/>
      <w:i/>
      <w:color w:val="FF0000"/>
      <w:kern w:val="28"/>
      <w:sz w:val="32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outlineLvl w:val="0"/>
    </w:pPr>
    <w:rPr>
      <w:b/>
      <w:i/>
      <w:color w:val="FF0000"/>
      <w:kern w:val="28"/>
      <w:sz w:val="32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D7399BF4.dotm</Template>
  <TotalTime>0</TotalTime>
  <Pages>3</Pages>
  <Words>854</Words>
  <Characters>6574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Cadilek Manfred</dc:creator>
  <cp:lastModifiedBy>Cadilek Manfred</cp:lastModifiedBy>
  <cp:revision>2</cp:revision>
  <dcterms:created xsi:type="dcterms:W3CDTF">2015-07-03T07:14:00Z</dcterms:created>
  <dcterms:modified xsi:type="dcterms:W3CDTF">2015-07-03T07:14:00Z</dcterms:modified>
</cp:coreProperties>
</file>